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A3" w:rsidRPr="00E35CD2" w:rsidRDefault="00D221A3" w:rsidP="00257118">
      <w:pPr>
        <w:spacing w:line="240" w:lineRule="auto"/>
        <w:ind w:firstLine="709"/>
        <w:jc w:val="center"/>
        <w:rPr>
          <w:rFonts w:ascii="Times New Roman" w:hAnsi="Times New Roman" w:cs="Times New Roman"/>
          <w:b/>
          <w:sz w:val="30"/>
          <w:szCs w:val="30"/>
        </w:rPr>
      </w:pPr>
      <w:r w:rsidRPr="00E35CD2">
        <w:rPr>
          <w:rFonts w:ascii="Times New Roman" w:hAnsi="Times New Roman" w:cs="Times New Roman"/>
          <w:b/>
          <w:sz w:val="30"/>
          <w:szCs w:val="30"/>
        </w:rPr>
        <w:t xml:space="preserve">Кадровый состав публичных библиотек </w:t>
      </w:r>
      <w:r w:rsidR="001146DC" w:rsidRPr="00E35CD2">
        <w:rPr>
          <w:rFonts w:ascii="Times New Roman" w:hAnsi="Times New Roman" w:cs="Times New Roman"/>
          <w:b/>
          <w:sz w:val="30"/>
          <w:szCs w:val="30"/>
        </w:rPr>
        <w:t xml:space="preserve">в </w:t>
      </w:r>
      <w:r w:rsidRPr="00E35CD2">
        <w:rPr>
          <w:rFonts w:ascii="Times New Roman" w:hAnsi="Times New Roman" w:cs="Times New Roman"/>
          <w:b/>
          <w:sz w:val="30"/>
          <w:szCs w:val="30"/>
        </w:rPr>
        <w:t>2016–2020 гг.</w:t>
      </w:r>
    </w:p>
    <w:p w:rsidR="001146DC" w:rsidRPr="00E35CD2" w:rsidRDefault="001146DC" w:rsidP="00257118">
      <w:pPr>
        <w:spacing w:line="240" w:lineRule="auto"/>
        <w:ind w:firstLine="709"/>
        <w:jc w:val="center"/>
        <w:rPr>
          <w:rFonts w:ascii="Times New Roman" w:hAnsi="Times New Roman" w:cs="Times New Roman"/>
          <w:b/>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46DC" w:rsidRPr="00E35CD2" w:rsidTr="001146DC">
        <w:tc>
          <w:tcPr>
            <w:tcW w:w="4785" w:type="dxa"/>
          </w:tcPr>
          <w:p w:rsidR="001146DC" w:rsidRPr="00E35CD2" w:rsidRDefault="001146DC" w:rsidP="00257118">
            <w:pPr>
              <w:tabs>
                <w:tab w:val="left" w:pos="0"/>
              </w:tabs>
              <w:jc w:val="right"/>
              <w:rPr>
                <w:rFonts w:ascii="Times New Roman" w:hAnsi="Times New Roman" w:cs="Times New Roman"/>
                <w:i/>
                <w:iCs/>
                <w:sz w:val="30"/>
                <w:szCs w:val="30"/>
              </w:rPr>
            </w:pPr>
          </w:p>
        </w:tc>
        <w:tc>
          <w:tcPr>
            <w:tcW w:w="4786" w:type="dxa"/>
          </w:tcPr>
          <w:p w:rsidR="001146DC" w:rsidRPr="00E35CD2" w:rsidRDefault="001146DC" w:rsidP="001146DC">
            <w:pPr>
              <w:tabs>
                <w:tab w:val="left" w:pos="0"/>
              </w:tabs>
              <w:rPr>
                <w:rFonts w:ascii="Times New Roman" w:hAnsi="Times New Roman" w:cs="Times New Roman"/>
                <w:i/>
                <w:iCs/>
                <w:sz w:val="30"/>
                <w:szCs w:val="30"/>
              </w:rPr>
            </w:pPr>
            <w:r w:rsidRPr="00E35CD2">
              <w:rPr>
                <w:rFonts w:ascii="Times New Roman" w:hAnsi="Times New Roman" w:cs="Times New Roman"/>
                <w:i/>
                <w:iCs/>
                <w:sz w:val="30"/>
                <w:szCs w:val="30"/>
              </w:rPr>
              <w:t>Седнева Е.В.,</w:t>
            </w:r>
          </w:p>
          <w:p w:rsidR="001146DC" w:rsidRPr="00E35CD2" w:rsidRDefault="001146DC" w:rsidP="001146DC">
            <w:pPr>
              <w:tabs>
                <w:tab w:val="left" w:pos="0"/>
              </w:tabs>
              <w:rPr>
                <w:rFonts w:ascii="Times New Roman" w:hAnsi="Times New Roman" w:cs="Times New Roman"/>
                <w:i/>
                <w:iCs/>
                <w:sz w:val="30"/>
                <w:szCs w:val="30"/>
              </w:rPr>
            </w:pPr>
            <w:r w:rsidRPr="00E35CD2">
              <w:rPr>
                <w:rFonts w:ascii="Times New Roman" w:hAnsi="Times New Roman" w:cs="Times New Roman"/>
                <w:i/>
                <w:iCs/>
                <w:sz w:val="30"/>
                <w:szCs w:val="30"/>
              </w:rPr>
              <w:t xml:space="preserve">ведущий библиотекарь </w:t>
            </w:r>
          </w:p>
          <w:p w:rsidR="001146DC" w:rsidRPr="00E35CD2" w:rsidRDefault="001146DC" w:rsidP="001146DC">
            <w:pPr>
              <w:tabs>
                <w:tab w:val="left" w:pos="0"/>
              </w:tabs>
              <w:rPr>
                <w:rFonts w:ascii="Times New Roman" w:hAnsi="Times New Roman" w:cs="Times New Roman"/>
                <w:i/>
                <w:iCs/>
                <w:sz w:val="30"/>
                <w:szCs w:val="30"/>
              </w:rPr>
            </w:pPr>
            <w:r w:rsidRPr="00E35CD2">
              <w:rPr>
                <w:rFonts w:ascii="Times New Roman" w:hAnsi="Times New Roman" w:cs="Times New Roman"/>
                <w:i/>
                <w:iCs/>
                <w:sz w:val="30"/>
                <w:szCs w:val="30"/>
              </w:rPr>
              <w:t xml:space="preserve">научно-исследовательского </w:t>
            </w:r>
          </w:p>
          <w:p w:rsidR="001146DC" w:rsidRPr="00E35CD2" w:rsidRDefault="001146DC" w:rsidP="001146DC">
            <w:pPr>
              <w:tabs>
                <w:tab w:val="left" w:pos="0"/>
              </w:tabs>
              <w:rPr>
                <w:rFonts w:ascii="Times New Roman" w:hAnsi="Times New Roman" w:cs="Times New Roman"/>
                <w:i/>
                <w:iCs/>
                <w:sz w:val="30"/>
                <w:szCs w:val="30"/>
              </w:rPr>
            </w:pPr>
            <w:r w:rsidRPr="00E35CD2">
              <w:rPr>
                <w:rFonts w:ascii="Times New Roman" w:hAnsi="Times New Roman" w:cs="Times New Roman"/>
                <w:i/>
                <w:iCs/>
                <w:sz w:val="30"/>
                <w:szCs w:val="30"/>
              </w:rPr>
              <w:t>отдела библиотековедения</w:t>
            </w:r>
          </w:p>
          <w:p w:rsidR="001146DC" w:rsidRPr="00E35CD2" w:rsidRDefault="001146DC" w:rsidP="00257118">
            <w:pPr>
              <w:tabs>
                <w:tab w:val="left" w:pos="0"/>
              </w:tabs>
              <w:jc w:val="right"/>
              <w:rPr>
                <w:rFonts w:ascii="Times New Roman" w:hAnsi="Times New Roman" w:cs="Times New Roman"/>
                <w:i/>
                <w:iCs/>
                <w:sz w:val="30"/>
                <w:szCs w:val="30"/>
              </w:rPr>
            </w:pPr>
          </w:p>
        </w:tc>
      </w:tr>
    </w:tbl>
    <w:p w:rsidR="007E76F7" w:rsidRPr="00E35CD2" w:rsidRDefault="007E76F7"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Кадры – это один из важнейших ресурсов пу</w:t>
      </w:r>
      <w:r w:rsidR="00C2467B" w:rsidRPr="00E35CD2">
        <w:rPr>
          <w:rFonts w:ascii="Times New Roman" w:hAnsi="Times New Roman" w:cs="Times New Roman"/>
          <w:sz w:val="30"/>
          <w:szCs w:val="30"/>
        </w:rPr>
        <w:t>бличных библиотек. На 01.01.2021</w:t>
      </w:r>
      <w:r w:rsidRPr="00E35CD2">
        <w:rPr>
          <w:rFonts w:ascii="Times New Roman" w:hAnsi="Times New Roman" w:cs="Times New Roman"/>
          <w:sz w:val="30"/>
          <w:szCs w:val="30"/>
        </w:rPr>
        <w:t xml:space="preserve"> г. в системе публичных библиотек было занято 6 706 б</w:t>
      </w:r>
      <w:r w:rsidR="00C2467B" w:rsidRPr="00E35CD2">
        <w:rPr>
          <w:rFonts w:ascii="Times New Roman" w:hAnsi="Times New Roman" w:cs="Times New Roman"/>
          <w:sz w:val="30"/>
          <w:szCs w:val="30"/>
        </w:rPr>
        <w:t>иб</w:t>
      </w:r>
      <w:r w:rsidR="00257118" w:rsidRPr="00E35CD2">
        <w:rPr>
          <w:rFonts w:ascii="Times New Roman" w:hAnsi="Times New Roman" w:cs="Times New Roman"/>
          <w:sz w:val="30"/>
          <w:szCs w:val="30"/>
        </w:rPr>
        <w:t>лиотечных работников, что на 10</w:t>
      </w:r>
      <w:r w:rsidR="00E35CD2">
        <w:rPr>
          <w:rFonts w:ascii="Times New Roman" w:hAnsi="Times New Roman" w:cs="Times New Roman"/>
          <w:sz w:val="30"/>
          <w:szCs w:val="30"/>
        </w:rPr>
        <w:t xml:space="preserve"> </w:t>
      </w:r>
      <w:r w:rsidR="00C2467B" w:rsidRPr="00E35CD2">
        <w:rPr>
          <w:rFonts w:ascii="Times New Roman" w:hAnsi="Times New Roman" w:cs="Times New Roman"/>
          <w:sz w:val="30"/>
          <w:szCs w:val="30"/>
        </w:rPr>
        <w:t xml:space="preserve">% меньше, чем на конец </w:t>
      </w:r>
      <w:r w:rsidR="00257118" w:rsidRPr="00E35CD2">
        <w:rPr>
          <w:rFonts w:ascii="Times New Roman" w:hAnsi="Times New Roman" w:cs="Times New Roman"/>
          <w:sz w:val="30"/>
          <w:szCs w:val="30"/>
        </w:rPr>
        <w:t xml:space="preserve">предыдущего </w:t>
      </w:r>
      <w:r w:rsidR="00C2467B" w:rsidRPr="00E35CD2">
        <w:rPr>
          <w:rFonts w:ascii="Times New Roman" w:hAnsi="Times New Roman" w:cs="Times New Roman"/>
          <w:sz w:val="30"/>
          <w:szCs w:val="30"/>
        </w:rPr>
        <w:t>пятилет</w:t>
      </w:r>
      <w:r w:rsidR="00257118" w:rsidRPr="00E35CD2">
        <w:rPr>
          <w:rFonts w:ascii="Times New Roman" w:hAnsi="Times New Roman" w:cs="Times New Roman"/>
          <w:sz w:val="30"/>
          <w:szCs w:val="30"/>
        </w:rPr>
        <w:t xml:space="preserve">него </w:t>
      </w:r>
      <w:r w:rsidR="00C2467B" w:rsidRPr="00E35CD2">
        <w:rPr>
          <w:rFonts w:ascii="Times New Roman" w:hAnsi="Times New Roman" w:cs="Times New Roman"/>
          <w:sz w:val="30"/>
          <w:szCs w:val="30"/>
        </w:rPr>
        <w:t>периода</w:t>
      </w:r>
      <w:r w:rsidRPr="00E35CD2">
        <w:rPr>
          <w:rFonts w:ascii="Times New Roman" w:hAnsi="Times New Roman" w:cs="Times New Roman"/>
          <w:sz w:val="30"/>
          <w:szCs w:val="30"/>
        </w:rPr>
        <w:t xml:space="preserve"> (рисунок 1). </w:t>
      </w:r>
    </w:p>
    <w:p w:rsidR="00D46974" w:rsidRPr="00E35CD2" w:rsidRDefault="00D46974" w:rsidP="00257118">
      <w:pPr>
        <w:spacing w:line="240" w:lineRule="auto"/>
        <w:ind w:firstLine="709"/>
        <w:jc w:val="both"/>
        <w:rPr>
          <w:rFonts w:ascii="Times New Roman" w:hAnsi="Times New Roman" w:cs="Times New Roman"/>
          <w:sz w:val="30"/>
          <w:szCs w:val="30"/>
        </w:rPr>
      </w:pPr>
    </w:p>
    <w:p w:rsidR="00D46974" w:rsidRPr="00E35CD2" w:rsidRDefault="00D46974" w:rsidP="00257118">
      <w:pPr>
        <w:spacing w:line="240" w:lineRule="auto"/>
        <w:ind w:firstLine="709"/>
        <w:jc w:val="both"/>
        <w:rPr>
          <w:rFonts w:ascii="Times New Roman" w:hAnsi="Times New Roman" w:cs="Times New Roman"/>
          <w:sz w:val="30"/>
          <w:szCs w:val="30"/>
        </w:rPr>
      </w:pPr>
      <w:r w:rsidRPr="00E35CD2">
        <w:rPr>
          <w:noProof/>
          <w:sz w:val="30"/>
          <w:szCs w:val="30"/>
          <w:lang w:eastAsia="ru-RU"/>
        </w:rPr>
        <w:drawing>
          <wp:inline distT="0" distB="0" distL="0" distR="0">
            <wp:extent cx="5095875" cy="27432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46974" w:rsidRPr="00E35CD2" w:rsidRDefault="00D46974" w:rsidP="00257118">
      <w:pPr>
        <w:spacing w:line="240" w:lineRule="auto"/>
        <w:ind w:firstLine="709"/>
        <w:jc w:val="center"/>
        <w:rPr>
          <w:rStyle w:val="txt"/>
          <w:rFonts w:ascii="Times New Roman" w:hAnsi="Times New Roman" w:cs="Times New Roman"/>
          <w:i/>
          <w:sz w:val="30"/>
          <w:szCs w:val="30"/>
        </w:rPr>
      </w:pPr>
      <w:r w:rsidRPr="00E35CD2">
        <w:rPr>
          <w:rStyle w:val="txt"/>
          <w:rFonts w:ascii="Times New Roman" w:hAnsi="Times New Roman" w:cs="Times New Roman"/>
          <w:i/>
          <w:sz w:val="30"/>
          <w:szCs w:val="30"/>
        </w:rPr>
        <w:t xml:space="preserve">Рисунок 1 – Динамика изменения количества библиотечных работников публичных библиотек </w:t>
      </w:r>
    </w:p>
    <w:p w:rsidR="00D46974" w:rsidRPr="00E35CD2" w:rsidRDefault="00D46974" w:rsidP="00257118">
      <w:pPr>
        <w:spacing w:line="240" w:lineRule="auto"/>
        <w:ind w:firstLine="709"/>
        <w:jc w:val="center"/>
        <w:rPr>
          <w:rStyle w:val="txt"/>
          <w:rFonts w:ascii="Times New Roman" w:hAnsi="Times New Roman" w:cs="Times New Roman"/>
          <w:b/>
          <w:sz w:val="30"/>
          <w:szCs w:val="30"/>
        </w:rPr>
      </w:pPr>
    </w:p>
    <w:p w:rsidR="000D7A21" w:rsidRPr="00E35CD2" w:rsidRDefault="00F13FBB"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Если говорить </w:t>
      </w:r>
      <w:r w:rsidR="00257118" w:rsidRPr="00E35CD2">
        <w:rPr>
          <w:rFonts w:ascii="Times New Roman" w:hAnsi="Times New Roman" w:cs="Times New Roman"/>
          <w:sz w:val="30"/>
          <w:szCs w:val="30"/>
        </w:rPr>
        <w:t xml:space="preserve">о </w:t>
      </w:r>
      <w:r w:rsidR="00C2467B" w:rsidRPr="00E35CD2">
        <w:rPr>
          <w:rFonts w:ascii="Times New Roman" w:hAnsi="Times New Roman" w:cs="Times New Roman"/>
          <w:sz w:val="30"/>
          <w:szCs w:val="30"/>
        </w:rPr>
        <w:t>динамике</w:t>
      </w:r>
      <w:r w:rsidR="001221A7" w:rsidRPr="00E35CD2">
        <w:rPr>
          <w:rFonts w:ascii="Times New Roman" w:hAnsi="Times New Roman" w:cs="Times New Roman"/>
          <w:sz w:val="30"/>
          <w:szCs w:val="30"/>
        </w:rPr>
        <w:t xml:space="preserve"> кадровых ресурсов в разрезе областей, то больше всего за 5 лет было сокращено работников в Гродненской (на 9,6</w:t>
      </w:r>
      <w:r w:rsidR="00E35CD2">
        <w:rPr>
          <w:rFonts w:ascii="Times New Roman" w:hAnsi="Times New Roman" w:cs="Times New Roman"/>
          <w:sz w:val="30"/>
          <w:szCs w:val="30"/>
        </w:rPr>
        <w:t xml:space="preserve"> </w:t>
      </w:r>
      <w:r w:rsidR="001221A7" w:rsidRPr="00E35CD2">
        <w:rPr>
          <w:rFonts w:ascii="Times New Roman" w:hAnsi="Times New Roman" w:cs="Times New Roman"/>
          <w:sz w:val="30"/>
          <w:szCs w:val="30"/>
        </w:rPr>
        <w:t>%), Витебской (на 9</w:t>
      </w:r>
      <w:r w:rsidR="00E35CD2">
        <w:rPr>
          <w:rFonts w:ascii="Times New Roman" w:hAnsi="Times New Roman" w:cs="Times New Roman"/>
          <w:sz w:val="30"/>
          <w:szCs w:val="30"/>
        </w:rPr>
        <w:t xml:space="preserve"> </w:t>
      </w:r>
      <w:r w:rsidR="001221A7" w:rsidRPr="00E35CD2">
        <w:rPr>
          <w:rFonts w:ascii="Times New Roman" w:hAnsi="Times New Roman" w:cs="Times New Roman"/>
          <w:sz w:val="30"/>
          <w:szCs w:val="30"/>
        </w:rPr>
        <w:t>%) и Брестской (на 8,3</w:t>
      </w:r>
      <w:r w:rsidR="00E35CD2">
        <w:rPr>
          <w:rFonts w:ascii="Times New Roman" w:hAnsi="Times New Roman" w:cs="Times New Roman"/>
          <w:sz w:val="30"/>
          <w:szCs w:val="30"/>
        </w:rPr>
        <w:t xml:space="preserve"> </w:t>
      </w:r>
      <w:r w:rsidR="001221A7" w:rsidRPr="00E35CD2">
        <w:rPr>
          <w:rFonts w:ascii="Times New Roman" w:hAnsi="Times New Roman" w:cs="Times New Roman"/>
          <w:sz w:val="30"/>
          <w:szCs w:val="30"/>
        </w:rPr>
        <w:t>%)</w:t>
      </w:r>
      <w:r w:rsidR="000D7A21" w:rsidRPr="00E35CD2">
        <w:rPr>
          <w:rFonts w:ascii="Times New Roman" w:hAnsi="Times New Roman" w:cs="Times New Roman"/>
          <w:sz w:val="30"/>
          <w:szCs w:val="30"/>
        </w:rPr>
        <w:t xml:space="preserve"> областях</w:t>
      </w:r>
      <w:r w:rsidR="001221A7" w:rsidRPr="00E35CD2">
        <w:rPr>
          <w:rFonts w:ascii="Times New Roman" w:hAnsi="Times New Roman" w:cs="Times New Roman"/>
          <w:sz w:val="30"/>
          <w:szCs w:val="30"/>
        </w:rPr>
        <w:t>.</w:t>
      </w:r>
      <w:r w:rsidR="000D7A21" w:rsidRPr="00E35CD2">
        <w:rPr>
          <w:rFonts w:ascii="Times New Roman" w:hAnsi="Times New Roman" w:cs="Times New Roman"/>
          <w:sz w:val="30"/>
          <w:szCs w:val="30"/>
        </w:rPr>
        <w:t xml:space="preserve"> </w:t>
      </w:r>
    </w:p>
    <w:p w:rsidR="00C901A6" w:rsidRPr="00E35CD2" w:rsidRDefault="002E0F93"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Квалификация библиотечных специалистов определяется уровнем их образования. Так, д</w:t>
      </w:r>
      <w:r w:rsidR="008B3770" w:rsidRPr="00E35CD2">
        <w:rPr>
          <w:rFonts w:ascii="Times New Roman" w:hAnsi="Times New Roman" w:cs="Times New Roman"/>
          <w:sz w:val="30"/>
          <w:szCs w:val="30"/>
        </w:rPr>
        <w:t xml:space="preserve">оля библиотечных работников со специальным образованием в публичных библиотеках республики </w:t>
      </w:r>
      <w:r w:rsidR="00000FE2" w:rsidRPr="00E35CD2">
        <w:rPr>
          <w:rFonts w:ascii="Times New Roman" w:hAnsi="Times New Roman" w:cs="Times New Roman"/>
          <w:sz w:val="30"/>
          <w:szCs w:val="30"/>
        </w:rPr>
        <w:t xml:space="preserve">на протяжении всего пятилетнего периода </w:t>
      </w:r>
      <w:r w:rsidR="008B3770" w:rsidRPr="00E35CD2">
        <w:rPr>
          <w:rFonts w:ascii="Times New Roman" w:hAnsi="Times New Roman" w:cs="Times New Roman"/>
          <w:sz w:val="30"/>
          <w:szCs w:val="30"/>
        </w:rPr>
        <w:t xml:space="preserve">остается </w:t>
      </w:r>
      <w:r w:rsidR="00DC44E9" w:rsidRPr="00E35CD2">
        <w:rPr>
          <w:rFonts w:ascii="Times New Roman" w:hAnsi="Times New Roman" w:cs="Times New Roman"/>
          <w:sz w:val="30"/>
          <w:szCs w:val="30"/>
        </w:rPr>
        <w:t>практически на одном уровне</w:t>
      </w:r>
      <w:r w:rsidR="00C2467B" w:rsidRPr="00E35CD2">
        <w:rPr>
          <w:rFonts w:ascii="Times New Roman" w:hAnsi="Times New Roman" w:cs="Times New Roman"/>
          <w:sz w:val="30"/>
          <w:szCs w:val="30"/>
        </w:rPr>
        <w:t xml:space="preserve"> (в среднем – около 65</w:t>
      </w:r>
      <w:r w:rsidR="00E35CD2">
        <w:rPr>
          <w:rFonts w:ascii="Times New Roman" w:hAnsi="Times New Roman" w:cs="Times New Roman"/>
          <w:sz w:val="30"/>
          <w:szCs w:val="30"/>
        </w:rPr>
        <w:t xml:space="preserve"> </w:t>
      </w:r>
      <w:r w:rsidR="00C2467B" w:rsidRPr="00E35CD2">
        <w:rPr>
          <w:rFonts w:ascii="Times New Roman" w:hAnsi="Times New Roman" w:cs="Times New Roman"/>
          <w:sz w:val="30"/>
          <w:szCs w:val="30"/>
        </w:rPr>
        <w:t>%)</w:t>
      </w:r>
      <w:r w:rsidR="008B3770" w:rsidRPr="00E35CD2">
        <w:rPr>
          <w:rFonts w:ascii="Times New Roman" w:hAnsi="Times New Roman" w:cs="Times New Roman"/>
          <w:sz w:val="30"/>
          <w:szCs w:val="30"/>
        </w:rPr>
        <w:t xml:space="preserve"> </w:t>
      </w:r>
      <w:r w:rsidR="00000FE2" w:rsidRPr="00E35CD2">
        <w:rPr>
          <w:rFonts w:ascii="Times New Roman" w:hAnsi="Times New Roman" w:cs="Times New Roman"/>
          <w:sz w:val="30"/>
          <w:szCs w:val="30"/>
        </w:rPr>
        <w:t>(рисунок 2).</w:t>
      </w:r>
    </w:p>
    <w:p w:rsidR="00000FE2" w:rsidRPr="00E35CD2" w:rsidRDefault="00000FE2" w:rsidP="00257118">
      <w:pPr>
        <w:spacing w:line="240" w:lineRule="auto"/>
        <w:ind w:firstLine="709"/>
        <w:jc w:val="both"/>
        <w:rPr>
          <w:rFonts w:ascii="Times New Roman" w:hAnsi="Times New Roman" w:cs="Times New Roman"/>
          <w:sz w:val="30"/>
          <w:szCs w:val="30"/>
        </w:rPr>
      </w:pPr>
    </w:p>
    <w:p w:rsidR="00000FE2" w:rsidRPr="00E35CD2" w:rsidRDefault="00000FE2" w:rsidP="00257118">
      <w:pPr>
        <w:spacing w:line="240" w:lineRule="auto"/>
        <w:ind w:firstLine="709"/>
        <w:jc w:val="both"/>
        <w:rPr>
          <w:rFonts w:ascii="Times New Roman" w:hAnsi="Times New Roman" w:cs="Times New Roman"/>
          <w:sz w:val="30"/>
          <w:szCs w:val="30"/>
        </w:rPr>
      </w:pPr>
      <w:r w:rsidRPr="00E35CD2">
        <w:rPr>
          <w:noProof/>
          <w:sz w:val="30"/>
          <w:szCs w:val="30"/>
          <w:lang w:eastAsia="ru-RU"/>
        </w:rPr>
        <w:lastRenderedPageBreak/>
        <w:drawing>
          <wp:inline distT="0" distB="0" distL="0" distR="0">
            <wp:extent cx="5495925" cy="27432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FE2" w:rsidRPr="00E35CD2" w:rsidRDefault="00300161" w:rsidP="00257118">
      <w:pPr>
        <w:spacing w:line="240" w:lineRule="auto"/>
        <w:ind w:firstLine="709"/>
        <w:jc w:val="center"/>
        <w:rPr>
          <w:rStyle w:val="txt"/>
          <w:rFonts w:ascii="Times New Roman" w:hAnsi="Times New Roman" w:cs="Times New Roman"/>
          <w:i/>
          <w:sz w:val="30"/>
          <w:szCs w:val="30"/>
        </w:rPr>
      </w:pPr>
      <w:r w:rsidRPr="00E35CD2">
        <w:rPr>
          <w:rStyle w:val="txt"/>
          <w:rFonts w:ascii="Times New Roman" w:hAnsi="Times New Roman" w:cs="Times New Roman"/>
          <w:i/>
          <w:sz w:val="30"/>
          <w:szCs w:val="30"/>
        </w:rPr>
        <w:t>Рисунок 2</w:t>
      </w:r>
      <w:r w:rsidR="00000FE2" w:rsidRPr="00E35CD2">
        <w:rPr>
          <w:rStyle w:val="txt"/>
          <w:rFonts w:ascii="Times New Roman" w:hAnsi="Times New Roman" w:cs="Times New Roman"/>
          <w:i/>
          <w:sz w:val="30"/>
          <w:szCs w:val="30"/>
        </w:rPr>
        <w:t xml:space="preserve"> – Доля работников с </w:t>
      </w:r>
      <w:r w:rsidR="00985D03" w:rsidRPr="00E35CD2">
        <w:rPr>
          <w:rStyle w:val="txt"/>
          <w:rFonts w:ascii="Times New Roman" w:hAnsi="Times New Roman" w:cs="Times New Roman"/>
          <w:i/>
          <w:sz w:val="30"/>
          <w:szCs w:val="30"/>
        </w:rPr>
        <w:t>библиотечным</w:t>
      </w:r>
      <w:r w:rsidR="00000FE2" w:rsidRPr="00E35CD2">
        <w:rPr>
          <w:rStyle w:val="txt"/>
          <w:rFonts w:ascii="Times New Roman" w:hAnsi="Times New Roman" w:cs="Times New Roman"/>
          <w:i/>
          <w:sz w:val="30"/>
          <w:szCs w:val="30"/>
        </w:rPr>
        <w:t xml:space="preserve"> образованием </w:t>
      </w:r>
    </w:p>
    <w:p w:rsidR="00000FE2" w:rsidRPr="00E35CD2" w:rsidRDefault="00000FE2" w:rsidP="00257118">
      <w:pPr>
        <w:spacing w:line="240" w:lineRule="auto"/>
        <w:ind w:firstLine="708"/>
        <w:jc w:val="center"/>
        <w:rPr>
          <w:rFonts w:ascii="Times New Roman" w:hAnsi="Times New Roman" w:cs="Times New Roman"/>
          <w:sz w:val="30"/>
          <w:szCs w:val="30"/>
        </w:rPr>
      </w:pPr>
    </w:p>
    <w:p w:rsidR="00FA5420" w:rsidRPr="00E35CD2" w:rsidRDefault="002E0F93" w:rsidP="001247E2">
      <w:pPr>
        <w:spacing w:line="240" w:lineRule="auto"/>
        <w:ind w:firstLine="708"/>
        <w:jc w:val="both"/>
        <w:rPr>
          <w:rFonts w:ascii="Times New Roman" w:hAnsi="Times New Roman" w:cs="Times New Roman"/>
          <w:sz w:val="30"/>
          <w:szCs w:val="30"/>
        </w:rPr>
      </w:pPr>
      <w:r w:rsidRPr="00E35CD2">
        <w:rPr>
          <w:rFonts w:ascii="Times New Roman" w:hAnsi="Times New Roman" w:cs="Times New Roman"/>
          <w:sz w:val="30"/>
          <w:szCs w:val="30"/>
        </w:rPr>
        <w:t>На сегодняшний день в публичных библиотеках страны качественный состав кадров с профильным образованием на 52</w:t>
      </w:r>
      <w:r w:rsidR="00E35CD2">
        <w:rPr>
          <w:rFonts w:ascii="Times New Roman" w:hAnsi="Times New Roman" w:cs="Times New Roman"/>
          <w:sz w:val="30"/>
          <w:szCs w:val="30"/>
        </w:rPr>
        <w:t xml:space="preserve"> </w:t>
      </w:r>
      <w:r w:rsidRPr="00E35CD2">
        <w:rPr>
          <w:rFonts w:ascii="Times New Roman" w:hAnsi="Times New Roman" w:cs="Times New Roman"/>
          <w:sz w:val="30"/>
          <w:szCs w:val="30"/>
        </w:rPr>
        <w:t xml:space="preserve">% обеспечен специалистами с высшим </w:t>
      </w:r>
      <w:r w:rsidR="00C2467B" w:rsidRPr="00E35CD2">
        <w:rPr>
          <w:rFonts w:ascii="Times New Roman" w:hAnsi="Times New Roman" w:cs="Times New Roman"/>
          <w:sz w:val="30"/>
          <w:szCs w:val="30"/>
        </w:rPr>
        <w:t>библиотеч</w:t>
      </w:r>
      <w:r w:rsidRPr="00E35CD2">
        <w:rPr>
          <w:rFonts w:ascii="Times New Roman" w:hAnsi="Times New Roman" w:cs="Times New Roman"/>
          <w:sz w:val="30"/>
          <w:szCs w:val="30"/>
        </w:rPr>
        <w:t>ным образованием и на 48</w:t>
      </w:r>
      <w:r w:rsidR="00E35CD2">
        <w:rPr>
          <w:rFonts w:ascii="Times New Roman" w:hAnsi="Times New Roman" w:cs="Times New Roman"/>
          <w:sz w:val="30"/>
          <w:szCs w:val="30"/>
        </w:rPr>
        <w:t xml:space="preserve"> </w:t>
      </w:r>
      <w:r w:rsidRPr="00E35CD2">
        <w:rPr>
          <w:rFonts w:ascii="Times New Roman" w:hAnsi="Times New Roman" w:cs="Times New Roman"/>
          <w:sz w:val="30"/>
          <w:szCs w:val="30"/>
        </w:rPr>
        <w:t xml:space="preserve">% – средним </w:t>
      </w:r>
      <w:r w:rsidR="00C2467B" w:rsidRPr="00E35CD2">
        <w:rPr>
          <w:rFonts w:ascii="Times New Roman" w:hAnsi="Times New Roman" w:cs="Times New Roman"/>
          <w:sz w:val="30"/>
          <w:szCs w:val="30"/>
        </w:rPr>
        <w:t xml:space="preserve">специальным. </w:t>
      </w:r>
    </w:p>
    <w:p w:rsidR="00B14AB4" w:rsidRPr="00E35CD2" w:rsidRDefault="00B61BA4"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По данным на конец 2020 г. б</w:t>
      </w:r>
      <w:r w:rsidR="00B82B4E" w:rsidRPr="00E35CD2">
        <w:rPr>
          <w:rFonts w:ascii="Times New Roman" w:hAnsi="Times New Roman" w:cs="Times New Roman"/>
          <w:sz w:val="30"/>
          <w:szCs w:val="30"/>
        </w:rPr>
        <w:t>ольше всего библиотечных работников с профильным образованием работает в публичных библиотеках Могил</w:t>
      </w:r>
      <w:r w:rsidR="00E35CD2">
        <w:rPr>
          <w:rFonts w:ascii="Times New Roman" w:hAnsi="Times New Roman" w:cs="Times New Roman"/>
          <w:sz w:val="30"/>
          <w:szCs w:val="30"/>
        </w:rPr>
        <w:t>ё</w:t>
      </w:r>
      <w:r w:rsidR="00B82B4E" w:rsidRPr="00E35CD2">
        <w:rPr>
          <w:rFonts w:ascii="Times New Roman" w:hAnsi="Times New Roman" w:cs="Times New Roman"/>
          <w:sz w:val="30"/>
          <w:szCs w:val="30"/>
        </w:rPr>
        <w:t>вской области (84</w:t>
      </w:r>
      <w:r w:rsidR="00E35CD2">
        <w:rPr>
          <w:rFonts w:ascii="Times New Roman" w:hAnsi="Times New Roman" w:cs="Times New Roman"/>
          <w:sz w:val="30"/>
          <w:szCs w:val="30"/>
        </w:rPr>
        <w:t xml:space="preserve"> </w:t>
      </w:r>
      <w:r w:rsidR="00B82B4E" w:rsidRPr="00E35CD2">
        <w:rPr>
          <w:rFonts w:ascii="Times New Roman" w:hAnsi="Times New Roman" w:cs="Times New Roman"/>
          <w:sz w:val="30"/>
          <w:szCs w:val="30"/>
        </w:rPr>
        <w:t>%) и г. Минска (74</w:t>
      </w:r>
      <w:r w:rsidR="00E35CD2">
        <w:rPr>
          <w:rFonts w:ascii="Times New Roman" w:hAnsi="Times New Roman" w:cs="Times New Roman"/>
          <w:sz w:val="30"/>
          <w:szCs w:val="30"/>
        </w:rPr>
        <w:t xml:space="preserve"> </w:t>
      </w:r>
      <w:r w:rsidR="00B82B4E" w:rsidRPr="00E35CD2">
        <w:rPr>
          <w:rFonts w:ascii="Times New Roman" w:hAnsi="Times New Roman" w:cs="Times New Roman"/>
          <w:sz w:val="30"/>
          <w:szCs w:val="30"/>
        </w:rPr>
        <w:t>%)</w:t>
      </w:r>
      <w:r w:rsidRPr="00E35CD2">
        <w:rPr>
          <w:rFonts w:ascii="Times New Roman" w:hAnsi="Times New Roman" w:cs="Times New Roman"/>
          <w:sz w:val="30"/>
          <w:szCs w:val="30"/>
        </w:rPr>
        <w:t>.</w:t>
      </w:r>
      <w:r w:rsidR="00B14AB4" w:rsidRPr="00E35CD2">
        <w:rPr>
          <w:rFonts w:ascii="Times New Roman" w:hAnsi="Times New Roman" w:cs="Times New Roman"/>
          <w:sz w:val="30"/>
          <w:szCs w:val="30"/>
        </w:rPr>
        <w:t xml:space="preserve"> </w:t>
      </w:r>
    </w:p>
    <w:p w:rsidR="00B446C4" w:rsidRPr="00E35CD2" w:rsidRDefault="00B4763D"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Что касается возрастной </w:t>
      </w:r>
      <w:r w:rsidR="00B82B4E" w:rsidRPr="00E35CD2">
        <w:rPr>
          <w:rFonts w:ascii="Times New Roman" w:hAnsi="Times New Roman" w:cs="Times New Roman"/>
          <w:sz w:val="30"/>
          <w:szCs w:val="30"/>
        </w:rPr>
        <w:t>структуры библиотечных кадров</w:t>
      </w:r>
      <w:r w:rsidRPr="00E35CD2">
        <w:rPr>
          <w:rFonts w:ascii="Times New Roman" w:hAnsi="Times New Roman" w:cs="Times New Roman"/>
          <w:sz w:val="30"/>
          <w:szCs w:val="30"/>
        </w:rPr>
        <w:t>, то</w:t>
      </w:r>
      <w:r w:rsidR="00B82B4E" w:rsidRPr="00E35CD2">
        <w:rPr>
          <w:rFonts w:ascii="Times New Roman" w:hAnsi="Times New Roman" w:cs="Times New Roman"/>
          <w:sz w:val="30"/>
          <w:szCs w:val="30"/>
        </w:rPr>
        <w:t xml:space="preserve"> </w:t>
      </w:r>
      <w:r w:rsidRPr="00E35CD2">
        <w:rPr>
          <w:rFonts w:ascii="Times New Roman" w:hAnsi="Times New Roman" w:cs="Times New Roman"/>
          <w:sz w:val="30"/>
          <w:szCs w:val="30"/>
        </w:rPr>
        <w:t xml:space="preserve">статистика </w:t>
      </w:r>
      <w:r w:rsidR="00B82B4E" w:rsidRPr="00E35CD2">
        <w:rPr>
          <w:rFonts w:ascii="Times New Roman" w:hAnsi="Times New Roman" w:cs="Times New Roman"/>
          <w:sz w:val="30"/>
          <w:szCs w:val="30"/>
        </w:rPr>
        <w:t>показывает, что 41,6</w:t>
      </w:r>
      <w:r w:rsidR="00E35CD2">
        <w:rPr>
          <w:rFonts w:ascii="Times New Roman" w:hAnsi="Times New Roman" w:cs="Times New Roman"/>
          <w:sz w:val="30"/>
          <w:szCs w:val="30"/>
        </w:rPr>
        <w:t xml:space="preserve"> </w:t>
      </w:r>
      <w:r w:rsidR="00B82B4E" w:rsidRPr="00E35CD2">
        <w:rPr>
          <w:rFonts w:ascii="Times New Roman" w:hAnsi="Times New Roman" w:cs="Times New Roman"/>
          <w:sz w:val="30"/>
          <w:szCs w:val="30"/>
        </w:rPr>
        <w:t>% работников перешагнули 50-летний рубеж, 46,5</w:t>
      </w:r>
      <w:r w:rsidR="00E35CD2">
        <w:rPr>
          <w:rFonts w:ascii="Times New Roman" w:hAnsi="Times New Roman" w:cs="Times New Roman"/>
          <w:sz w:val="30"/>
          <w:szCs w:val="30"/>
        </w:rPr>
        <w:t xml:space="preserve"> </w:t>
      </w:r>
      <w:r w:rsidR="00B82B4E" w:rsidRPr="00E35CD2">
        <w:rPr>
          <w:rFonts w:ascii="Times New Roman" w:hAnsi="Times New Roman" w:cs="Times New Roman"/>
          <w:sz w:val="30"/>
          <w:szCs w:val="30"/>
        </w:rPr>
        <w:t>% библиотекарей находятся в в</w:t>
      </w:r>
      <w:r w:rsidR="00D760F3" w:rsidRPr="00E35CD2">
        <w:rPr>
          <w:rFonts w:ascii="Times New Roman" w:hAnsi="Times New Roman" w:cs="Times New Roman"/>
          <w:sz w:val="30"/>
          <w:szCs w:val="30"/>
        </w:rPr>
        <w:t>озрасте 30–</w:t>
      </w:r>
      <w:r w:rsidR="00B82B4E" w:rsidRPr="00E35CD2">
        <w:rPr>
          <w:rFonts w:ascii="Times New Roman" w:hAnsi="Times New Roman" w:cs="Times New Roman"/>
          <w:sz w:val="30"/>
          <w:szCs w:val="30"/>
        </w:rPr>
        <w:t>49 лет, а самой малочисленно</w:t>
      </w:r>
      <w:r w:rsidR="00D760F3" w:rsidRPr="00E35CD2">
        <w:rPr>
          <w:rFonts w:ascii="Times New Roman" w:hAnsi="Times New Roman" w:cs="Times New Roman"/>
          <w:sz w:val="30"/>
          <w:szCs w:val="30"/>
        </w:rPr>
        <w:t>й группой является молодежь (18–</w:t>
      </w:r>
      <w:r w:rsidR="00B82B4E" w:rsidRPr="00E35CD2">
        <w:rPr>
          <w:rFonts w:ascii="Times New Roman" w:hAnsi="Times New Roman" w:cs="Times New Roman"/>
          <w:sz w:val="30"/>
          <w:szCs w:val="30"/>
        </w:rPr>
        <w:t xml:space="preserve">29 лет) – </w:t>
      </w:r>
      <w:r w:rsidR="00B446C4" w:rsidRPr="00E35CD2">
        <w:rPr>
          <w:rFonts w:ascii="Times New Roman" w:hAnsi="Times New Roman" w:cs="Times New Roman"/>
          <w:sz w:val="30"/>
          <w:szCs w:val="30"/>
        </w:rPr>
        <w:t>11,9</w:t>
      </w:r>
      <w:r w:rsidR="00E35CD2">
        <w:rPr>
          <w:rFonts w:ascii="Times New Roman" w:hAnsi="Times New Roman" w:cs="Times New Roman"/>
          <w:sz w:val="30"/>
          <w:szCs w:val="30"/>
        </w:rPr>
        <w:t xml:space="preserve"> </w:t>
      </w:r>
      <w:r w:rsidR="00B446C4" w:rsidRPr="00E35CD2">
        <w:rPr>
          <w:rFonts w:ascii="Times New Roman" w:hAnsi="Times New Roman" w:cs="Times New Roman"/>
          <w:sz w:val="30"/>
          <w:szCs w:val="30"/>
        </w:rPr>
        <w:t>% (рисунок</w:t>
      </w:r>
      <w:r w:rsidR="005C4438" w:rsidRPr="00E35CD2">
        <w:rPr>
          <w:rFonts w:ascii="Times New Roman" w:hAnsi="Times New Roman" w:cs="Times New Roman"/>
          <w:sz w:val="30"/>
          <w:szCs w:val="30"/>
        </w:rPr>
        <w:t> </w:t>
      </w:r>
      <w:r w:rsidR="00B446C4" w:rsidRPr="00E35CD2">
        <w:rPr>
          <w:rFonts w:ascii="Times New Roman" w:hAnsi="Times New Roman" w:cs="Times New Roman"/>
          <w:sz w:val="30"/>
          <w:szCs w:val="30"/>
        </w:rPr>
        <w:t>4).</w:t>
      </w:r>
      <w:r w:rsidR="00B82B4E" w:rsidRPr="00E35CD2">
        <w:rPr>
          <w:rFonts w:ascii="Times New Roman" w:hAnsi="Times New Roman" w:cs="Times New Roman"/>
          <w:sz w:val="30"/>
          <w:szCs w:val="30"/>
        </w:rPr>
        <w:t xml:space="preserve"> </w:t>
      </w:r>
    </w:p>
    <w:p w:rsidR="00B446C4" w:rsidRPr="00E35CD2" w:rsidRDefault="00B446C4" w:rsidP="00257118">
      <w:pPr>
        <w:spacing w:line="240" w:lineRule="auto"/>
        <w:ind w:firstLine="709"/>
        <w:jc w:val="both"/>
        <w:rPr>
          <w:rFonts w:ascii="Times New Roman" w:hAnsi="Times New Roman" w:cs="Times New Roman"/>
          <w:sz w:val="30"/>
          <w:szCs w:val="30"/>
        </w:rPr>
      </w:pPr>
      <w:r w:rsidRPr="00E35CD2">
        <w:rPr>
          <w:noProof/>
          <w:sz w:val="30"/>
          <w:szCs w:val="30"/>
          <w:lang w:eastAsia="ru-RU"/>
        </w:rPr>
        <w:drawing>
          <wp:inline distT="0" distB="0" distL="0" distR="0">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46C4" w:rsidRPr="00E35CD2" w:rsidRDefault="00D760F3" w:rsidP="00257118">
      <w:pPr>
        <w:spacing w:line="240" w:lineRule="auto"/>
        <w:ind w:firstLine="709"/>
        <w:jc w:val="center"/>
        <w:rPr>
          <w:rStyle w:val="txt"/>
          <w:rFonts w:ascii="Times New Roman" w:hAnsi="Times New Roman" w:cs="Times New Roman"/>
          <w:i/>
          <w:sz w:val="30"/>
          <w:szCs w:val="30"/>
        </w:rPr>
      </w:pPr>
      <w:r w:rsidRPr="00E35CD2">
        <w:rPr>
          <w:rStyle w:val="txt"/>
          <w:rFonts w:ascii="Times New Roman" w:hAnsi="Times New Roman" w:cs="Times New Roman"/>
          <w:i/>
          <w:sz w:val="30"/>
          <w:szCs w:val="30"/>
        </w:rPr>
        <w:t>Рисунок 4</w:t>
      </w:r>
      <w:r w:rsidR="00B446C4" w:rsidRPr="00E35CD2">
        <w:rPr>
          <w:rStyle w:val="txt"/>
          <w:rFonts w:ascii="Times New Roman" w:hAnsi="Times New Roman" w:cs="Times New Roman"/>
          <w:i/>
          <w:sz w:val="30"/>
          <w:szCs w:val="30"/>
        </w:rPr>
        <w:t xml:space="preserve"> – Возрастная структура работников библиотек </w:t>
      </w:r>
    </w:p>
    <w:p w:rsidR="00B446C4" w:rsidRPr="00E35CD2" w:rsidRDefault="0075419D"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lastRenderedPageBreak/>
        <w:t>Неизменным</w:t>
      </w:r>
      <w:r w:rsidR="00B4763D" w:rsidRPr="00E35CD2">
        <w:rPr>
          <w:rFonts w:ascii="Times New Roman" w:hAnsi="Times New Roman" w:cs="Times New Roman"/>
          <w:sz w:val="30"/>
          <w:szCs w:val="30"/>
        </w:rPr>
        <w:t xml:space="preserve"> из года в год остается и </w:t>
      </w:r>
      <w:r w:rsidRPr="00E35CD2">
        <w:rPr>
          <w:rFonts w:ascii="Times New Roman" w:hAnsi="Times New Roman" w:cs="Times New Roman"/>
          <w:sz w:val="30"/>
          <w:szCs w:val="30"/>
        </w:rPr>
        <w:t>тот факт, что</w:t>
      </w:r>
      <w:r w:rsidR="00B8178D" w:rsidRPr="00E35CD2">
        <w:rPr>
          <w:rFonts w:ascii="Times New Roman" w:hAnsi="Times New Roman" w:cs="Times New Roman"/>
          <w:sz w:val="30"/>
          <w:szCs w:val="30"/>
        </w:rPr>
        <w:t xml:space="preserve"> б</w:t>
      </w:r>
      <w:r w:rsidR="00B446C4" w:rsidRPr="00E35CD2">
        <w:rPr>
          <w:rFonts w:ascii="Times New Roman" w:hAnsi="Times New Roman" w:cs="Times New Roman"/>
          <w:sz w:val="30"/>
          <w:szCs w:val="30"/>
        </w:rPr>
        <w:t xml:space="preserve">иблиотечная профессия по-прежнему </w:t>
      </w:r>
      <w:r w:rsidRPr="00E35CD2">
        <w:rPr>
          <w:rFonts w:ascii="Times New Roman" w:hAnsi="Times New Roman" w:cs="Times New Roman"/>
          <w:sz w:val="30"/>
          <w:szCs w:val="30"/>
        </w:rPr>
        <w:t>является</w:t>
      </w:r>
      <w:r w:rsidR="00B446C4" w:rsidRPr="00E35CD2">
        <w:rPr>
          <w:rFonts w:ascii="Times New Roman" w:hAnsi="Times New Roman" w:cs="Times New Roman"/>
          <w:sz w:val="30"/>
          <w:szCs w:val="30"/>
        </w:rPr>
        <w:t xml:space="preserve"> женской: 92,5</w:t>
      </w:r>
      <w:r w:rsidR="00E35CD2">
        <w:rPr>
          <w:rFonts w:ascii="Times New Roman" w:hAnsi="Times New Roman" w:cs="Times New Roman"/>
          <w:sz w:val="30"/>
          <w:szCs w:val="30"/>
        </w:rPr>
        <w:t xml:space="preserve"> </w:t>
      </w:r>
      <w:r w:rsidR="00B446C4" w:rsidRPr="00E35CD2">
        <w:rPr>
          <w:rFonts w:ascii="Times New Roman" w:hAnsi="Times New Roman" w:cs="Times New Roman"/>
          <w:sz w:val="30"/>
          <w:szCs w:val="30"/>
        </w:rPr>
        <w:t xml:space="preserve">% сотрудников составляют женщины. </w:t>
      </w:r>
    </w:p>
    <w:p w:rsidR="009F5ED8" w:rsidRPr="00E35CD2" w:rsidRDefault="007636A0"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Профессионализация библ</w:t>
      </w:r>
      <w:r w:rsidR="0075419D" w:rsidRPr="00E35CD2">
        <w:rPr>
          <w:rFonts w:ascii="Times New Roman" w:hAnsi="Times New Roman" w:cs="Times New Roman"/>
          <w:sz w:val="30"/>
          <w:szCs w:val="30"/>
        </w:rPr>
        <w:t>иотечных кадров, как и раньше, остается</w:t>
      </w:r>
      <w:r w:rsidRPr="00E35CD2">
        <w:rPr>
          <w:rFonts w:ascii="Times New Roman" w:hAnsi="Times New Roman" w:cs="Times New Roman"/>
          <w:sz w:val="30"/>
          <w:szCs w:val="30"/>
        </w:rPr>
        <w:t xml:space="preserve"> одним из важных вопросов в сфере оптимизации кадровых ресурсов и обеспечения профессионального развития библиотечных кадров</w:t>
      </w:r>
      <w:r w:rsidR="00D23638" w:rsidRPr="00E35CD2">
        <w:rPr>
          <w:rFonts w:ascii="Times New Roman" w:hAnsi="Times New Roman" w:cs="Times New Roman"/>
          <w:sz w:val="30"/>
          <w:szCs w:val="30"/>
        </w:rPr>
        <w:t>,</w:t>
      </w:r>
      <w:r w:rsidRPr="00E35CD2">
        <w:rPr>
          <w:rFonts w:ascii="Times New Roman" w:hAnsi="Times New Roman" w:cs="Times New Roman"/>
          <w:sz w:val="30"/>
          <w:szCs w:val="30"/>
        </w:rPr>
        <w:t xml:space="preserve"> адекватн</w:t>
      </w:r>
      <w:r w:rsidR="00D23638" w:rsidRPr="00E35CD2">
        <w:rPr>
          <w:rFonts w:ascii="Times New Roman" w:hAnsi="Times New Roman" w:cs="Times New Roman"/>
          <w:sz w:val="30"/>
          <w:szCs w:val="30"/>
        </w:rPr>
        <w:t>ых</w:t>
      </w:r>
      <w:r w:rsidRPr="00E35CD2">
        <w:rPr>
          <w:rFonts w:ascii="Times New Roman" w:hAnsi="Times New Roman" w:cs="Times New Roman"/>
          <w:sz w:val="30"/>
          <w:szCs w:val="30"/>
        </w:rPr>
        <w:t xml:space="preserve"> требованиям времени. </w:t>
      </w:r>
    </w:p>
    <w:p w:rsidR="005A7A1F" w:rsidRPr="00E35CD2" w:rsidRDefault="00AC2290"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Национальная библиотека Беларуси (НББ) как республиканский научно-методический и</w:t>
      </w:r>
      <w:r w:rsidR="005A7A1F" w:rsidRPr="00E35CD2">
        <w:rPr>
          <w:rFonts w:ascii="Times New Roman" w:hAnsi="Times New Roman" w:cs="Times New Roman"/>
          <w:sz w:val="30"/>
          <w:szCs w:val="30"/>
        </w:rPr>
        <w:t xml:space="preserve"> </w:t>
      </w:r>
      <w:r w:rsidRPr="00E35CD2">
        <w:rPr>
          <w:rFonts w:ascii="Times New Roman" w:hAnsi="Times New Roman" w:cs="Times New Roman"/>
          <w:sz w:val="30"/>
          <w:szCs w:val="30"/>
        </w:rPr>
        <w:t>координационный</w:t>
      </w:r>
      <w:r w:rsidR="005A7A1F" w:rsidRPr="00E35CD2">
        <w:rPr>
          <w:rFonts w:ascii="Times New Roman" w:hAnsi="Times New Roman" w:cs="Times New Roman"/>
          <w:sz w:val="30"/>
          <w:szCs w:val="30"/>
        </w:rPr>
        <w:t xml:space="preserve"> центр для публичных библиотек </w:t>
      </w:r>
      <w:r w:rsidRPr="00E35CD2">
        <w:rPr>
          <w:rFonts w:ascii="Times New Roman" w:hAnsi="Times New Roman" w:cs="Times New Roman"/>
          <w:sz w:val="30"/>
          <w:szCs w:val="30"/>
        </w:rPr>
        <w:t>ведет активную работу по повышению квалификации библиотечных кадров</w:t>
      </w:r>
      <w:r w:rsidR="005A7A1F" w:rsidRPr="00E35CD2">
        <w:rPr>
          <w:rFonts w:ascii="Times New Roman" w:hAnsi="Times New Roman" w:cs="Times New Roman"/>
          <w:sz w:val="30"/>
          <w:szCs w:val="30"/>
        </w:rPr>
        <w:t xml:space="preserve">. </w:t>
      </w:r>
    </w:p>
    <w:p w:rsidR="006E39B3" w:rsidRPr="00E35CD2" w:rsidRDefault="00A678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Сегодня образовательная деятельность концентрируется на проведении мероприятий по повышению квалификации и переподготовке библиотечных кадров в сотрудничестве с Институтом повышения квалификации и переподготовки кадров УО «Белорусский государственный университет культуры и искусств» (БГУКИ) </w:t>
      </w:r>
      <w:r w:rsidR="00AC2290" w:rsidRPr="00E35CD2">
        <w:rPr>
          <w:rFonts w:ascii="Times New Roman" w:hAnsi="Times New Roman" w:cs="Times New Roman"/>
          <w:sz w:val="30"/>
          <w:szCs w:val="30"/>
        </w:rPr>
        <w:t>на основании заключенного договора от 20 сентября 2017 г.</w:t>
      </w:r>
      <w:r w:rsidR="00D23638" w:rsidRPr="00E35CD2">
        <w:rPr>
          <w:rFonts w:ascii="Times New Roman" w:hAnsi="Times New Roman" w:cs="Times New Roman"/>
          <w:sz w:val="30"/>
          <w:szCs w:val="30"/>
        </w:rPr>
        <w:t xml:space="preserve"> </w:t>
      </w:r>
      <w:r w:rsidR="006E39B3" w:rsidRPr="00E35CD2">
        <w:rPr>
          <w:rFonts w:ascii="Times New Roman" w:hAnsi="Times New Roman" w:cs="Times New Roman"/>
          <w:sz w:val="30"/>
          <w:szCs w:val="30"/>
        </w:rPr>
        <w:t xml:space="preserve">Кроме того, специалисты НББ активно выступают с докладами на научно-практических конференциях, семинарах, круглых столах и других </w:t>
      </w:r>
      <w:r w:rsidR="00600217" w:rsidRPr="00E35CD2">
        <w:rPr>
          <w:rFonts w:ascii="Times New Roman" w:hAnsi="Times New Roman" w:cs="Times New Roman"/>
          <w:sz w:val="30"/>
          <w:szCs w:val="30"/>
        </w:rPr>
        <w:t>мероприятиях</w:t>
      </w:r>
      <w:r w:rsidR="006E39B3" w:rsidRPr="00E35CD2">
        <w:rPr>
          <w:rFonts w:ascii="Times New Roman" w:hAnsi="Times New Roman" w:cs="Times New Roman"/>
          <w:sz w:val="30"/>
          <w:szCs w:val="30"/>
        </w:rPr>
        <w:t xml:space="preserve">.  </w:t>
      </w:r>
    </w:p>
    <w:p w:rsidR="006E39B3" w:rsidRPr="00E35CD2" w:rsidRDefault="006E39B3"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Так, в период 2016–2020 гг. ими было сделано 798 докладов на различных профессиональных площадках. На страницах республиканских и зарубежных изданий появились 1 281 публикация.</w:t>
      </w:r>
    </w:p>
    <w:p w:rsidR="009B1E5F" w:rsidRPr="00E35CD2" w:rsidRDefault="00AC2290"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 </w:t>
      </w:r>
      <w:r w:rsidR="009B1E5F" w:rsidRPr="00E35CD2">
        <w:rPr>
          <w:rFonts w:ascii="Times New Roman" w:hAnsi="Times New Roman" w:cs="Times New Roman"/>
          <w:sz w:val="30"/>
          <w:szCs w:val="30"/>
        </w:rPr>
        <w:t>Одним из основных направлений научно-методической работы является организация конференций, круглых столов, семинаров-практикумов, семинаров-тренингов и других образовательных мероприятий, проводимых как на базе НББ</w:t>
      </w:r>
      <w:r w:rsidR="00600217" w:rsidRPr="00E35CD2">
        <w:rPr>
          <w:rFonts w:ascii="Times New Roman" w:hAnsi="Times New Roman" w:cs="Times New Roman"/>
          <w:sz w:val="30"/>
          <w:szCs w:val="30"/>
        </w:rPr>
        <w:t>,</w:t>
      </w:r>
      <w:r w:rsidR="009B1E5F" w:rsidRPr="00E35CD2">
        <w:rPr>
          <w:rFonts w:ascii="Times New Roman" w:hAnsi="Times New Roman" w:cs="Times New Roman"/>
          <w:sz w:val="30"/>
          <w:szCs w:val="30"/>
        </w:rPr>
        <w:t xml:space="preserve"> так и в других библиотеках республики, что способствует расширению </w:t>
      </w:r>
      <w:r w:rsidR="00600217" w:rsidRPr="00E35CD2">
        <w:rPr>
          <w:rFonts w:ascii="Times New Roman" w:hAnsi="Times New Roman" w:cs="Times New Roman"/>
          <w:sz w:val="30"/>
          <w:szCs w:val="30"/>
        </w:rPr>
        <w:t xml:space="preserve">профессиональных </w:t>
      </w:r>
      <w:r w:rsidR="009B1E5F" w:rsidRPr="00E35CD2">
        <w:rPr>
          <w:rFonts w:ascii="Times New Roman" w:hAnsi="Times New Roman" w:cs="Times New Roman"/>
          <w:sz w:val="30"/>
          <w:szCs w:val="30"/>
        </w:rPr>
        <w:t>контактов.</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Ежегодно НББ организует и проводит более 30 подобных мероприятий, из которых наиболее масштабными являются: Международный конгресс «Библиотека как феномен культуры»; научно-практическая конференция «Электронная культура», Международные книговедческие чтения, Форум библиотекарей Беларуси, а также ряд семинаров по вопросам использования электронных информационных ресурсов, ресурсов открытого доступа, авторскому праву, интеллектуальной собственности и др. С 2016 по 2020 г. в стенах библиотеки было организовано более 200 таких профессиональных встреч.</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Кроме того, НББ как республиканский научно-методический центр организует и проводит выездные семинары, круглые столы по наиболее актуальным вопросам библиотечного дела.</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lastRenderedPageBreak/>
        <w:t>Так, в рамках методического обеспечения деятельности библиотек республики в 2017 г. Национальная библиотека Беларуси провела на базе областных библиотек Гомельской, Витебской, Гродненской и Могил</w:t>
      </w:r>
      <w:r w:rsidR="00E35CD2">
        <w:rPr>
          <w:rFonts w:ascii="Times New Roman" w:hAnsi="Times New Roman" w:cs="Times New Roman"/>
          <w:sz w:val="30"/>
          <w:szCs w:val="30"/>
        </w:rPr>
        <w:t>ё</w:t>
      </w:r>
      <w:r w:rsidRPr="00E35CD2">
        <w:rPr>
          <w:rFonts w:ascii="Times New Roman" w:hAnsi="Times New Roman" w:cs="Times New Roman"/>
          <w:sz w:val="30"/>
          <w:szCs w:val="30"/>
        </w:rPr>
        <w:t xml:space="preserve">вской областей двухдневные выездные семинары «Современное состояние и векторы развития библиотек Республики Беларусь». </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В рамках мероприятий руководители НББ знакомили директоров и специалистов библиотек области с перспективными направлениями развития библиотек Беларуси в условиях информатизации и корпоративного взаимодействия, намечали ключевые проблемы, требующие оперативного решения, в т.ч. посредством государственного регулирования. На семинарах обсуждались вопросы развития и информационных технологий и их внедрения в практику работы библиотеки, автоматизации библиотечных процессов, создания новых видов библиотечно-информационной продукции и способов ее распространения, развития нестационарных форм обслуживания, повышения квалификации библиотечных кадров и др. </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В рамках выполнения Постановления Совета Министров Республики Беларусь от 28.01.2019 №</w:t>
      </w:r>
      <w:r w:rsidR="00E35CD2">
        <w:rPr>
          <w:rFonts w:ascii="Times New Roman" w:hAnsi="Times New Roman" w:cs="Times New Roman"/>
          <w:sz w:val="30"/>
          <w:szCs w:val="30"/>
        </w:rPr>
        <w:t xml:space="preserve"> </w:t>
      </w:r>
      <w:r w:rsidRPr="00E35CD2">
        <w:rPr>
          <w:rFonts w:ascii="Times New Roman" w:hAnsi="Times New Roman" w:cs="Times New Roman"/>
          <w:sz w:val="30"/>
          <w:szCs w:val="30"/>
        </w:rPr>
        <w:t>58 «Об утверждении комплекса мер по реализации Программы развития Оршанского района на период до 2023 г</w:t>
      </w:r>
      <w:r w:rsidR="00E35CD2">
        <w:rPr>
          <w:rFonts w:ascii="Times New Roman" w:hAnsi="Times New Roman" w:cs="Times New Roman"/>
          <w:sz w:val="30"/>
          <w:szCs w:val="30"/>
        </w:rPr>
        <w:t>.</w:t>
      </w:r>
      <w:r w:rsidRPr="00E35CD2">
        <w:rPr>
          <w:rFonts w:ascii="Times New Roman" w:hAnsi="Times New Roman" w:cs="Times New Roman"/>
          <w:sz w:val="30"/>
          <w:szCs w:val="30"/>
        </w:rPr>
        <w:t>», в соответствии с Отраслевым планом мероприятий по развитию сферы культуры Оршанского района Витебской области на период до 2023 г</w:t>
      </w:r>
      <w:r w:rsidR="00E35CD2">
        <w:rPr>
          <w:rFonts w:ascii="Times New Roman" w:hAnsi="Times New Roman" w:cs="Times New Roman"/>
          <w:sz w:val="30"/>
          <w:szCs w:val="30"/>
        </w:rPr>
        <w:t>.</w:t>
      </w:r>
      <w:r w:rsidRPr="00E35CD2">
        <w:rPr>
          <w:rFonts w:ascii="Times New Roman" w:hAnsi="Times New Roman" w:cs="Times New Roman"/>
          <w:sz w:val="30"/>
          <w:szCs w:val="30"/>
        </w:rPr>
        <w:t>, утвержденным приказом Министерства культуры Республики Беларусь от 06.02.2019 №</w:t>
      </w:r>
      <w:r w:rsidR="00E35CD2">
        <w:rPr>
          <w:rFonts w:ascii="Times New Roman" w:hAnsi="Times New Roman" w:cs="Times New Roman"/>
          <w:sz w:val="30"/>
          <w:szCs w:val="30"/>
        </w:rPr>
        <w:t xml:space="preserve"> </w:t>
      </w:r>
      <w:r w:rsidRPr="00E35CD2">
        <w:rPr>
          <w:rFonts w:ascii="Times New Roman" w:hAnsi="Times New Roman" w:cs="Times New Roman"/>
          <w:sz w:val="30"/>
          <w:szCs w:val="30"/>
        </w:rPr>
        <w:t>22, и Планом работы Национальной библиотеки Беларуси на 2019 г</w:t>
      </w:r>
      <w:r w:rsidR="00E35CD2">
        <w:rPr>
          <w:rFonts w:ascii="Times New Roman" w:hAnsi="Times New Roman" w:cs="Times New Roman"/>
          <w:sz w:val="30"/>
          <w:szCs w:val="30"/>
        </w:rPr>
        <w:t>.</w:t>
      </w:r>
      <w:r w:rsidRPr="00E35CD2">
        <w:rPr>
          <w:rFonts w:ascii="Times New Roman" w:hAnsi="Times New Roman" w:cs="Times New Roman"/>
          <w:sz w:val="30"/>
          <w:szCs w:val="30"/>
        </w:rPr>
        <w:t xml:space="preserve"> 13–14 июня 2019 г. на базе ГУК «Оршанская централизованная библиотечная система» впервые в истории библиотечного дела современной Беларуси состоялась Республиканская школа директоров библиотек (далее – Школа директоров). В мероприятии приняло участие около 150 делегатов.</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Участники обсудили вопросы законодательного регулирования библиотечной деятельности, а также актуальные проблемы развития библиотечной отрасли в части формирования единого информационного пространства Беларуси, информатизации библиотек, формирования библиотечных фондов и коллекций, учета и сохранности книжных памятников, подготовки библиотечных кадров, квалификационных требований к персоналу.</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В рамках мероприятия прошла церемония передачи в дар Оршанской централизованной библиотечной системе краеведческой литературы из всех регионов Республики Беларусь (около 200 экземпляров изданий).</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С целью активизации деятельности публичных библиотек в формировании национального самосознания населения, пропаганды </w:t>
      </w:r>
      <w:r w:rsidRPr="00E35CD2">
        <w:rPr>
          <w:rFonts w:ascii="Times New Roman" w:hAnsi="Times New Roman" w:cs="Times New Roman"/>
          <w:sz w:val="30"/>
          <w:szCs w:val="30"/>
        </w:rPr>
        <w:lastRenderedPageBreak/>
        <w:t>национального наследия, истории, литературы, языка, народной культуры, поддержки и развития чтения НББ ежегодно с 1992 г. организует и проводит Республиканский конкурс «Бібліятэка – асяродак нацыянальнай культуры». С 2016 по 2020 г. в нем приняло участие 188 публичных библиотек со всей страны. Дипломами первой, второй и третьей степеней были отмечены 115 работ, поощрительными пр</w:t>
      </w:r>
      <w:r w:rsidR="00E35CD2">
        <w:rPr>
          <w:rFonts w:ascii="Times New Roman" w:hAnsi="Times New Roman" w:cs="Times New Roman"/>
          <w:sz w:val="30"/>
          <w:szCs w:val="30"/>
        </w:rPr>
        <w:t>е</w:t>
      </w:r>
      <w:r w:rsidRPr="00E35CD2">
        <w:rPr>
          <w:rFonts w:ascii="Times New Roman" w:hAnsi="Times New Roman" w:cs="Times New Roman"/>
          <w:sz w:val="30"/>
          <w:szCs w:val="30"/>
        </w:rPr>
        <w:t xml:space="preserve">миями </w:t>
      </w:r>
      <w:r w:rsidR="00E35CD2">
        <w:rPr>
          <w:rFonts w:ascii="Times New Roman" w:hAnsi="Times New Roman" w:cs="Times New Roman"/>
          <w:sz w:val="30"/>
          <w:szCs w:val="30"/>
        </w:rPr>
        <w:t>–</w:t>
      </w:r>
      <w:r w:rsidRPr="00E35CD2">
        <w:rPr>
          <w:rFonts w:ascii="Times New Roman" w:hAnsi="Times New Roman" w:cs="Times New Roman"/>
          <w:sz w:val="30"/>
          <w:szCs w:val="30"/>
        </w:rPr>
        <w:t xml:space="preserve"> 39 работ.  </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Работы победителей ежегодно выставляются в рамках празднования Дня белорусской письменности. </w:t>
      </w:r>
    </w:p>
    <w:p w:rsidR="009B1E5F" w:rsidRPr="00E35CD2" w:rsidRDefault="009B1E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С целью содействия формированию духовно-нравственных качеств личности и воспитания патриотизма и гражданственности детей и молодежи на основе культурных, православных и государственных традиций белорусского народа НББ совместно с Синодальным отделом религиозного образования и катехизации Белорусской </w:t>
      </w:r>
      <w:r w:rsidR="00E35CD2">
        <w:rPr>
          <w:rFonts w:ascii="Times New Roman" w:hAnsi="Times New Roman" w:cs="Times New Roman"/>
          <w:sz w:val="30"/>
          <w:szCs w:val="30"/>
        </w:rPr>
        <w:t>п</w:t>
      </w:r>
      <w:r w:rsidRPr="00E35CD2">
        <w:rPr>
          <w:rFonts w:ascii="Times New Roman" w:hAnsi="Times New Roman" w:cs="Times New Roman"/>
          <w:sz w:val="30"/>
          <w:szCs w:val="30"/>
        </w:rPr>
        <w:t xml:space="preserve">равославной </w:t>
      </w:r>
      <w:r w:rsidR="00E35CD2">
        <w:rPr>
          <w:rFonts w:ascii="Times New Roman" w:hAnsi="Times New Roman" w:cs="Times New Roman"/>
          <w:sz w:val="30"/>
          <w:szCs w:val="30"/>
        </w:rPr>
        <w:t>ц</w:t>
      </w:r>
      <w:r w:rsidRPr="00E35CD2">
        <w:rPr>
          <w:rFonts w:ascii="Times New Roman" w:hAnsi="Times New Roman" w:cs="Times New Roman"/>
          <w:sz w:val="30"/>
          <w:szCs w:val="30"/>
        </w:rPr>
        <w:t xml:space="preserve">еркви в рамках соглашения между Министерством культуры Республики Беларусь и Белорусской </w:t>
      </w:r>
      <w:r w:rsidR="00E35CD2">
        <w:rPr>
          <w:rFonts w:ascii="Times New Roman" w:hAnsi="Times New Roman" w:cs="Times New Roman"/>
          <w:sz w:val="30"/>
          <w:szCs w:val="30"/>
        </w:rPr>
        <w:t>п</w:t>
      </w:r>
      <w:r w:rsidRPr="00E35CD2">
        <w:rPr>
          <w:rFonts w:ascii="Times New Roman" w:hAnsi="Times New Roman" w:cs="Times New Roman"/>
          <w:sz w:val="30"/>
          <w:szCs w:val="30"/>
        </w:rPr>
        <w:t xml:space="preserve">равославной </w:t>
      </w:r>
      <w:r w:rsidR="00E35CD2">
        <w:rPr>
          <w:rFonts w:ascii="Times New Roman" w:hAnsi="Times New Roman" w:cs="Times New Roman"/>
          <w:sz w:val="30"/>
          <w:szCs w:val="30"/>
        </w:rPr>
        <w:t>ц</w:t>
      </w:r>
      <w:r w:rsidRPr="00E35CD2">
        <w:rPr>
          <w:rFonts w:ascii="Times New Roman" w:hAnsi="Times New Roman" w:cs="Times New Roman"/>
          <w:sz w:val="30"/>
          <w:szCs w:val="30"/>
        </w:rPr>
        <w:t xml:space="preserve">ерковью с 2015 г. ежегодно проводит Республиканский конкурс «Библиотека – центр духовного просвещения и воспитания». </w:t>
      </w:r>
    </w:p>
    <w:p w:rsidR="00D23638" w:rsidRPr="00E35CD2" w:rsidRDefault="009B1E5F" w:rsidP="00D2363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За рассматриваемый период в конкурсе приняли участие 315 библиотек. Дипломами победителей отмечено 187 участников.</w:t>
      </w:r>
    </w:p>
    <w:p w:rsidR="00D23638" w:rsidRPr="00E35CD2" w:rsidRDefault="00D23638" w:rsidP="00D2363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В 2018 г</w:t>
      </w:r>
      <w:r w:rsidR="00E35CD2">
        <w:rPr>
          <w:rFonts w:ascii="Times New Roman" w:hAnsi="Times New Roman" w:cs="Times New Roman"/>
          <w:sz w:val="30"/>
          <w:szCs w:val="30"/>
        </w:rPr>
        <w:t>.</w:t>
      </w:r>
      <w:r w:rsidRPr="00E35CD2">
        <w:rPr>
          <w:rFonts w:ascii="Times New Roman" w:hAnsi="Times New Roman" w:cs="Times New Roman"/>
          <w:sz w:val="30"/>
          <w:szCs w:val="30"/>
        </w:rPr>
        <w:t xml:space="preserve"> впервые прошел республиканский конкурс «Лучший публичный центр правовой информации», организаторами которого выступили Национальный центр правовой информации Республики Беларусь, Министерство культуры Республики Беларусь, ГУ «Национальная библиотека Беларуси», ОО «Белорусский республиканский союз юристов», ОО «Белорусская библиотечная ассоциация». </w:t>
      </w:r>
    </w:p>
    <w:p w:rsidR="00D23638" w:rsidRPr="00E35CD2" w:rsidRDefault="00D23638" w:rsidP="00D2363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Конкурс проводился с целью укрепления роли публичных библиотек в формировании правовой культуры граждан, распространения идей гражданственности и патриотизма, а также стимулирования творческой инициативы работников публичных центров правовой информации (ПЦПИ) в рамках их профессиональной деятельности. </w:t>
      </w:r>
    </w:p>
    <w:p w:rsidR="00D23638" w:rsidRPr="00E35CD2" w:rsidRDefault="00D23638" w:rsidP="00D2363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В конкурсе приняли участие 52 библиотеки. Призовые места получили 15 участников. </w:t>
      </w:r>
    </w:p>
    <w:p w:rsidR="006E39B3" w:rsidRPr="00E35CD2" w:rsidRDefault="00A6785F"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 </w:t>
      </w:r>
      <w:r w:rsidR="006E39B3" w:rsidRPr="00E35CD2">
        <w:rPr>
          <w:rFonts w:ascii="Times New Roman" w:hAnsi="Times New Roman" w:cs="Times New Roman"/>
          <w:sz w:val="30"/>
          <w:szCs w:val="30"/>
        </w:rPr>
        <w:t xml:space="preserve">В 2019 г. НББ совместно с областными библиотеками республики организовала и провела цикл совместных семинаров «Библиотеки и книжная культура Беларуси: из прошлого в будущее», в рамках которых состоялась открытая лекция генерального директора НББ </w:t>
      </w:r>
      <w:r w:rsidR="00E35CD2" w:rsidRPr="00E35CD2">
        <w:rPr>
          <w:rFonts w:ascii="Times New Roman" w:hAnsi="Times New Roman" w:cs="Times New Roman"/>
          <w:sz w:val="30"/>
          <w:szCs w:val="30"/>
        </w:rPr>
        <w:t xml:space="preserve">Р.С. </w:t>
      </w:r>
      <w:r w:rsidR="006E39B3" w:rsidRPr="00E35CD2">
        <w:rPr>
          <w:rFonts w:ascii="Times New Roman" w:hAnsi="Times New Roman" w:cs="Times New Roman"/>
          <w:sz w:val="30"/>
          <w:szCs w:val="30"/>
        </w:rPr>
        <w:t>Мотульского «Тенденции и особенности развития книжной культуры Беларуси в XI</w:t>
      </w:r>
      <w:r w:rsidR="00E35CD2">
        <w:rPr>
          <w:rFonts w:ascii="Times New Roman" w:hAnsi="Times New Roman" w:cs="Times New Roman"/>
          <w:sz w:val="30"/>
          <w:szCs w:val="30"/>
        </w:rPr>
        <w:t>–</w:t>
      </w:r>
      <w:r w:rsidR="006E39B3" w:rsidRPr="00E35CD2">
        <w:rPr>
          <w:rFonts w:ascii="Times New Roman" w:hAnsi="Times New Roman" w:cs="Times New Roman"/>
          <w:sz w:val="30"/>
          <w:szCs w:val="30"/>
        </w:rPr>
        <w:t xml:space="preserve">XX вв. в контексте общеевропейской и национальной истории», а также осуществлено посещение сельских библиотек </w:t>
      </w:r>
      <w:r w:rsidR="006E39B3" w:rsidRPr="00E35CD2">
        <w:rPr>
          <w:rFonts w:ascii="Times New Roman" w:hAnsi="Times New Roman" w:cs="Times New Roman"/>
          <w:sz w:val="30"/>
          <w:szCs w:val="30"/>
        </w:rPr>
        <w:lastRenderedPageBreak/>
        <w:t>регионов с целью ознакомления с условиями их работы и оказания консультационной помощи.</w:t>
      </w:r>
    </w:p>
    <w:p w:rsidR="00412D7A" w:rsidRPr="00E35CD2" w:rsidRDefault="006E39B3"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С целью оказания методической поддержки библиотекам рег</w:t>
      </w:r>
      <w:r w:rsidR="003C2AB7" w:rsidRPr="00E35CD2">
        <w:rPr>
          <w:rFonts w:ascii="Times New Roman" w:hAnsi="Times New Roman" w:cs="Times New Roman"/>
          <w:sz w:val="30"/>
          <w:szCs w:val="30"/>
        </w:rPr>
        <w:t>ионов в общей сложности за 2016–</w:t>
      </w:r>
      <w:r w:rsidRPr="00E35CD2">
        <w:rPr>
          <w:rFonts w:ascii="Times New Roman" w:hAnsi="Times New Roman" w:cs="Times New Roman"/>
          <w:sz w:val="30"/>
          <w:szCs w:val="30"/>
        </w:rPr>
        <w:t>2020 гг. сотрудниками НББ было совершено более 150 рабочих командировок.</w:t>
      </w:r>
    </w:p>
    <w:p w:rsidR="0075419D" w:rsidRPr="00E35CD2" w:rsidRDefault="006E39B3"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В 2020 г. в условиях пандемии коронавирусной инфекции (COVID-19) НББ освоила новый формат проведения мероприятий по повышению квалификации библиотекарей республики – виртуальные семинары, мастер-классы, круглые столы и др. По итогам деятельности в 2020 г. было проведено около 30 подобных мероприятий, затрагивающих наиболее актуальные вопросы деятельности современной библиотеки.</w:t>
      </w:r>
    </w:p>
    <w:p w:rsidR="00CC0DB6" w:rsidRPr="00E35CD2" w:rsidRDefault="006847D6" w:rsidP="006847D6">
      <w:pPr>
        <w:ind w:firstLine="708"/>
        <w:jc w:val="both"/>
        <w:rPr>
          <w:rFonts w:ascii="Times New Roman" w:hAnsi="Times New Roman" w:cs="Times New Roman"/>
          <w:sz w:val="30"/>
          <w:szCs w:val="30"/>
        </w:rPr>
      </w:pPr>
      <w:r w:rsidRPr="00E35CD2">
        <w:rPr>
          <w:rFonts w:ascii="Times New Roman" w:hAnsi="Times New Roman" w:cs="Times New Roman"/>
          <w:sz w:val="30"/>
          <w:szCs w:val="30"/>
        </w:rPr>
        <w:t>Я</w:t>
      </w:r>
      <w:r w:rsidR="004D4302" w:rsidRPr="00E35CD2">
        <w:rPr>
          <w:rFonts w:ascii="Times New Roman" w:hAnsi="Times New Roman" w:cs="Times New Roman"/>
          <w:sz w:val="30"/>
          <w:szCs w:val="30"/>
        </w:rPr>
        <w:t>вляясь методическими и информационно-</w:t>
      </w:r>
      <w:r w:rsidR="009F5ED8" w:rsidRPr="00E35CD2">
        <w:rPr>
          <w:rFonts w:ascii="Times New Roman" w:hAnsi="Times New Roman" w:cs="Times New Roman"/>
          <w:sz w:val="30"/>
          <w:szCs w:val="30"/>
        </w:rPr>
        <w:t>образовательными центрами</w:t>
      </w:r>
      <w:r w:rsidR="004D4302" w:rsidRPr="00E35CD2">
        <w:rPr>
          <w:rFonts w:ascii="Times New Roman" w:hAnsi="Times New Roman" w:cs="Times New Roman"/>
          <w:sz w:val="30"/>
          <w:szCs w:val="30"/>
        </w:rPr>
        <w:t xml:space="preserve"> для библиотек</w:t>
      </w:r>
      <w:r w:rsidR="0075419D" w:rsidRPr="00E35CD2">
        <w:rPr>
          <w:rFonts w:ascii="Times New Roman" w:hAnsi="Times New Roman" w:cs="Times New Roman"/>
          <w:sz w:val="30"/>
          <w:szCs w:val="30"/>
        </w:rPr>
        <w:t xml:space="preserve"> своих регионов</w:t>
      </w:r>
      <w:r w:rsidR="004D4302" w:rsidRPr="00E35CD2">
        <w:rPr>
          <w:rFonts w:ascii="Times New Roman" w:hAnsi="Times New Roman" w:cs="Times New Roman"/>
          <w:sz w:val="30"/>
          <w:szCs w:val="30"/>
        </w:rPr>
        <w:t>, областные</w:t>
      </w:r>
      <w:r w:rsidR="00CC0DB6" w:rsidRPr="00E35CD2">
        <w:rPr>
          <w:rFonts w:ascii="Times New Roman" w:hAnsi="Times New Roman" w:cs="Times New Roman"/>
          <w:sz w:val="30"/>
          <w:szCs w:val="30"/>
        </w:rPr>
        <w:t>, центральные районные</w:t>
      </w:r>
      <w:r w:rsidRPr="00E35CD2">
        <w:rPr>
          <w:rFonts w:ascii="Times New Roman" w:hAnsi="Times New Roman" w:cs="Times New Roman"/>
          <w:sz w:val="30"/>
          <w:szCs w:val="30"/>
        </w:rPr>
        <w:t xml:space="preserve"> / городские</w:t>
      </w:r>
      <w:r w:rsidR="00CC0DB6" w:rsidRPr="00E35CD2">
        <w:rPr>
          <w:rFonts w:ascii="Times New Roman" w:hAnsi="Times New Roman" w:cs="Times New Roman"/>
          <w:sz w:val="30"/>
          <w:szCs w:val="30"/>
        </w:rPr>
        <w:t xml:space="preserve"> библиотеки</w:t>
      </w:r>
      <w:r w:rsidR="004D4302" w:rsidRPr="00E35CD2">
        <w:rPr>
          <w:rFonts w:ascii="Times New Roman" w:hAnsi="Times New Roman" w:cs="Times New Roman"/>
          <w:sz w:val="30"/>
          <w:szCs w:val="30"/>
        </w:rPr>
        <w:t xml:space="preserve"> </w:t>
      </w:r>
      <w:r w:rsidRPr="00E35CD2">
        <w:rPr>
          <w:rFonts w:ascii="Times New Roman" w:hAnsi="Times New Roman" w:cs="Times New Roman"/>
          <w:sz w:val="30"/>
          <w:szCs w:val="30"/>
        </w:rPr>
        <w:t xml:space="preserve">ежегодно </w:t>
      </w:r>
      <w:r w:rsidR="004D4302" w:rsidRPr="00E35CD2">
        <w:rPr>
          <w:rFonts w:ascii="Times New Roman" w:hAnsi="Times New Roman" w:cs="Times New Roman"/>
          <w:sz w:val="30"/>
          <w:szCs w:val="30"/>
        </w:rPr>
        <w:t xml:space="preserve">проводят разнообразные </w:t>
      </w:r>
      <w:r w:rsidRPr="00E35CD2">
        <w:rPr>
          <w:rFonts w:ascii="Times New Roman" w:hAnsi="Times New Roman" w:cs="Times New Roman"/>
          <w:sz w:val="30"/>
          <w:szCs w:val="30"/>
        </w:rPr>
        <w:t>научно-практические</w:t>
      </w:r>
      <w:r w:rsidR="004D4302" w:rsidRPr="00E35CD2">
        <w:rPr>
          <w:rFonts w:ascii="Times New Roman" w:hAnsi="Times New Roman" w:cs="Times New Roman"/>
          <w:sz w:val="30"/>
          <w:szCs w:val="30"/>
        </w:rPr>
        <w:t xml:space="preserve"> мероприятия: круглые столы, </w:t>
      </w:r>
      <w:r w:rsidRPr="00E35CD2">
        <w:rPr>
          <w:rFonts w:ascii="Times New Roman" w:hAnsi="Times New Roman" w:cs="Times New Roman"/>
          <w:sz w:val="30"/>
          <w:szCs w:val="30"/>
        </w:rPr>
        <w:t xml:space="preserve">семинары-практикумы, </w:t>
      </w:r>
      <w:r w:rsidR="004D4302" w:rsidRPr="00E35CD2">
        <w:rPr>
          <w:rFonts w:ascii="Times New Roman" w:hAnsi="Times New Roman" w:cs="Times New Roman"/>
          <w:sz w:val="30"/>
          <w:szCs w:val="30"/>
        </w:rPr>
        <w:t>профессиональные конкурсы, мастер-классы</w:t>
      </w:r>
      <w:r w:rsidR="009F5ED8" w:rsidRPr="00E35CD2">
        <w:rPr>
          <w:rFonts w:ascii="Times New Roman" w:hAnsi="Times New Roman" w:cs="Times New Roman"/>
          <w:sz w:val="30"/>
          <w:szCs w:val="30"/>
        </w:rPr>
        <w:t xml:space="preserve">. </w:t>
      </w:r>
    </w:p>
    <w:p w:rsidR="00CC0DB6" w:rsidRPr="00E35CD2" w:rsidRDefault="00CC0DB6" w:rsidP="0025711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 xml:space="preserve">Например, </w:t>
      </w:r>
      <w:r w:rsidR="00DA3C83">
        <w:rPr>
          <w:rFonts w:ascii="Times New Roman" w:hAnsi="Times New Roman" w:cs="Times New Roman"/>
          <w:sz w:val="30"/>
          <w:szCs w:val="30"/>
        </w:rPr>
        <w:t>у</w:t>
      </w:r>
      <w:r w:rsidR="001247E2" w:rsidRPr="00E35CD2">
        <w:rPr>
          <w:rFonts w:ascii="Times New Roman" w:hAnsi="Times New Roman" w:cs="Times New Roman"/>
          <w:sz w:val="30"/>
          <w:szCs w:val="30"/>
        </w:rPr>
        <w:t>чреждение культуры «Брестская областная библиотека имени М.</w:t>
      </w:r>
      <w:r w:rsidR="00DA3C83">
        <w:rPr>
          <w:rFonts w:ascii="Times New Roman" w:hAnsi="Times New Roman" w:cs="Times New Roman"/>
          <w:sz w:val="30"/>
          <w:szCs w:val="30"/>
        </w:rPr>
        <w:t xml:space="preserve"> </w:t>
      </w:r>
      <w:r w:rsidR="001247E2" w:rsidRPr="00E35CD2">
        <w:rPr>
          <w:rFonts w:ascii="Times New Roman" w:hAnsi="Times New Roman" w:cs="Times New Roman"/>
          <w:sz w:val="30"/>
          <w:szCs w:val="30"/>
        </w:rPr>
        <w:t xml:space="preserve">Горького» проводит ежегодно семинар «Детское чтение и библиотека в контексте цифровизации современного общества», </w:t>
      </w:r>
      <w:r w:rsidR="00DA3C83">
        <w:rPr>
          <w:rFonts w:ascii="Times New Roman" w:hAnsi="Times New Roman" w:cs="Times New Roman"/>
          <w:sz w:val="30"/>
          <w:szCs w:val="30"/>
        </w:rPr>
        <w:t>г</w:t>
      </w:r>
      <w:r w:rsidR="001247E2" w:rsidRPr="00E35CD2">
        <w:rPr>
          <w:rFonts w:ascii="Times New Roman" w:hAnsi="Times New Roman" w:cs="Times New Roman"/>
          <w:sz w:val="30"/>
          <w:szCs w:val="30"/>
        </w:rPr>
        <w:t>осударственное учреждение «Витебская областная библиотека имени В.И.</w:t>
      </w:r>
      <w:r w:rsidR="00DA3C83">
        <w:rPr>
          <w:rFonts w:ascii="Times New Roman" w:hAnsi="Times New Roman" w:cs="Times New Roman"/>
          <w:sz w:val="30"/>
          <w:szCs w:val="30"/>
        </w:rPr>
        <w:t xml:space="preserve"> </w:t>
      </w:r>
      <w:r w:rsidR="001247E2" w:rsidRPr="00E35CD2">
        <w:rPr>
          <w:rFonts w:ascii="Times New Roman" w:hAnsi="Times New Roman" w:cs="Times New Roman"/>
          <w:sz w:val="30"/>
          <w:szCs w:val="30"/>
        </w:rPr>
        <w:t xml:space="preserve">Ленина» – семинар «Публичная библиотека в современном обществе», </w:t>
      </w:r>
      <w:r w:rsidR="00DA3C83" w:rsidRPr="00DA3C83">
        <w:rPr>
          <w:rFonts w:ascii="Times New Roman" w:hAnsi="Times New Roman" w:cs="Times New Roman"/>
          <w:sz w:val="30"/>
          <w:szCs w:val="30"/>
        </w:rPr>
        <w:t>г</w:t>
      </w:r>
      <w:r w:rsidR="00DA3C83" w:rsidRPr="00DA3C83">
        <w:rPr>
          <w:rFonts w:ascii="Times New Roman" w:hAnsi="Times New Roman" w:cs="Times New Roman"/>
          <w:sz w:val="30"/>
          <w:szCs w:val="30"/>
        </w:rPr>
        <w:t>осударственное</w:t>
      </w:r>
      <w:r w:rsidR="00DA3C83">
        <w:t xml:space="preserve"> </w:t>
      </w:r>
      <w:r w:rsidR="00DA3C83">
        <w:rPr>
          <w:rFonts w:ascii="Times New Roman" w:hAnsi="Times New Roman" w:cs="Times New Roman"/>
          <w:sz w:val="30"/>
          <w:szCs w:val="30"/>
        </w:rPr>
        <w:t>у</w:t>
      </w:r>
      <w:r w:rsidR="00DA3C83" w:rsidRPr="00E35CD2">
        <w:rPr>
          <w:rFonts w:ascii="Times New Roman" w:hAnsi="Times New Roman" w:cs="Times New Roman"/>
          <w:sz w:val="30"/>
          <w:szCs w:val="30"/>
        </w:rPr>
        <w:t>чреждение культуры</w:t>
      </w:r>
      <w:r w:rsidR="00906925" w:rsidRPr="00E35CD2">
        <w:rPr>
          <w:rFonts w:ascii="Times New Roman" w:hAnsi="Times New Roman" w:cs="Times New Roman"/>
          <w:sz w:val="30"/>
          <w:szCs w:val="30"/>
        </w:rPr>
        <w:t xml:space="preserve"> «Гродненская областная научная библиотека имени Е.Ф.</w:t>
      </w:r>
      <w:r w:rsidR="00DA3C83">
        <w:rPr>
          <w:rFonts w:ascii="Times New Roman" w:hAnsi="Times New Roman" w:cs="Times New Roman"/>
          <w:sz w:val="30"/>
          <w:szCs w:val="30"/>
        </w:rPr>
        <w:t xml:space="preserve"> </w:t>
      </w:r>
      <w:r w:rsidR="00906925" w:rsidRPr="00E35CD2">
        <w:rPr>
          <w:rFonts w:ascii="Times New Roman" w:hAnsi="Times New Roman" w:cs="Times New Roman"/>
          <w:sz w:val="30"/>
          <w:szCs w:val="30"/>
        </w:rPr>
        <w:t>Карского» ежегодно проводит мероприятие «</w:t>
      </w:r>
      <w:r w:rsidR="007A695D" w:rsidRPr="00E35CD2">
        <w:rPr>
          <w:rFonts w:ascii="Times New Roman" w:hAnsi="Times New Roman" w:cs="Times New Roman"/>
          <w:sz w:val="30"/>
          <w:szCs w:val="30"/>
        </w:rPr>
        <w:t>Школа специалиста для руководителей библиотек области</w:t>
      </w:r>
      <w:r w:rsidR="002A437F" w:rsidRPr="00E35CD2">
        <w:rPr>
          <w:rFonts w:ascii="Times New Roman" w:hAnsi="Times New Roman" w:cs="Times New Roman"/>
          <w:sz w:val="30"/>
          <w:szCs w:val="30"/>
        </w:rPr>
        <w:t xml:space="preserve">», </w:t>
      </w:r>
      <w:r w:rsidR="00DA3C83">
        <w:rPr>
          <w:rFonts w:ascii="Times New Roman" w:hAnsi="Times New Roman" w:cs="Times New Roman"/>
          <w:sz w:val="30"/>
          <w:szCs w:val="30"/>
        </w:rPr>
        <w:t>у</w:t>
      </w:r>
      <w:r w:rsidR="002A437F" w:rsidRPr="00E35CD2">
        <w:rPr>
          <w:rFonts w:ascii="Times New Roman" w:hAnsi="Times New Roman" w:cs="Times New Roman"/>
          <w:sz w:val="30"/>
          <w:szCs w:val="30"/>
        </w:rPr>
        <w:t>чреждение</w:t>
      </w:r>
      <w:r w:rsidR="00906925" w:rsidRPr="00E35CD2">
        <w:rPr>
          <w:rFonts w:ascii="Times New Roman" w:hAnsi="Times New Roman" w:cs="Times New Roman"/>
          <w:sz w:val="30"/>
          <w:szCs w:val="30"/>
        </w:rPr>
        <w:t xml:space="preserve"> «Гомельская областная универсальная библиотека имени В.И.</w:t>
      </w:r>
      <w:r w:rsidR="00DA3C83">
        <w:rPr>
          <w:rFonts w:ascii="Times New Roman" w:hAnsi="Times New Roman" w:cs="Times New Roman"/>
          <w:sz w:val="30"/>
          <w:szCs w:val="30"/>
        </w:rPr>
        <w:t xml:space="preserve"> </w:t>
      </w:r>
      <w:r w:rsidR="00906925" w:rsidRPr="00E35CD2">
        <w:rPr>
          <w:rFonts w:ascii="Times New Roman" w:hAnsi="Times New Roman" w:cs="Times New Roman"/>
          <w:sz w:val="30"/>
          <w:szCs w:val="30"/>
        </w:rPr>
        <w:t>Ленина» проводит к</w:t>
      </w:r>
      <w:r w:rsidR="007A695D" w:rsidRPr="00E35CD2">
        <w:rPr>
          <w:rFonts w:ascii="Times New Roman" w:hAnsi="Times New Roman" w:cs="Times New Roman"/>
          <w:sz w:val="30"/>
          <w:szCs w:val="30"/>
        </w:rPr>
        <w:t xml:space="preserve">урсы повышения квалификации сельских библиотекарей, </w:t>
      </w:r>
      <w:r w:rsidR="00DA3C83">
        <w:rPr>
          <w:rFonts w:ascii="Times New Roman" w:hAnsi="Times New Roman" w:cs="Times New Roman"/>
          <w:sz w:val="30"/>
          <w:szCs w:val="30"/>
        </w:rPr>
        <w:t>у</w:t>
      </w:r>
      <w:r w:rsidR="00906925" w:rsidRPr="00E35CD2">
        <w:rPr>
          <w:rFonts w:ascii="Times New Roman" w:hAnsi="Times New Roman" w:cs="Times New Roman"/>
          <w:sz w:val="30"/>
          <w:szCs w:val="30"/>
        </w:rPr>
        <w:t>чреждение культуры «Могил</w:t>
      </w:r>
      <w:r w:rsidR="00DA3C83">
        <w:rPr>
          <w:rFonts w:ascii="Times New Roman" w:hAnsi="Times New Roman" w:cs="Times New Roman"/>
          <w:sz w:val="30"/>
          <w:szCs w:val="30"/>
        </w:rPr>
        <w:t>ё</w:t>
      </w:r>
      <w:r w:rsidR="00906925" w:rsidRPr="00E35CD2">
        <w:rPr>
          <w:rFonts w:ascii="Times New Roman" w:hAnsi="Times New Roman" w:cs="Times New Roman"/>
          <w:sz w:val="30"/>
          <w:szCs w:val="30"/>
        </w:rPr>
        <w:t>вская областная библиотека им</w:t>
      </w:r>
      <w:r w:rsidR="00DA3C83">
        <w:rPr>
          <w:rFonts w:ascii="Times New Roman" w:hAnsi="Times New Roman" w:cs="Times New Roman"/>
          <w:sz w:val="30"/>
          <w:szCs w:val="30"/>
        </w:rPr>
        <w:t>ени</w:t>
      </w:r>
      <w:r w:rsidR="00906925" w:rsidRPr="00E35CD2">
        <w:rPr>
          <w:rFonts w:ascii="Times New Roman" w:hAnsi="Times New Roman" w:cs="Times New Roman"/>
          <w:sz w:val="30"/>
          <w:szCs w:val="30"/>
        </w:rPr>
        <w:t xml:space="preserve"> В.И.</w:t>
      </w:r>
      <w:r w:rsidR="00DA3C83">
        <w:rPr>
          <w:rFonts w:ascii="Times New Roman" w:hAnsi="Times New Roman" w:cs="Times New Roman"/>
          <w:sz w:val="30"/>
          <w:szCs w:val="30"/>
        </w:rPr>
        <w:t xml:space="preserve"> </w:t>
      </w:r>
      <w:r w:rsidR="00906925" w:rsidRPr="00E35CD2">
        <w:rPr>
          <w:rFonts w:ascii="Times New Roman" w:hAnsi="Times New Roman" w:cs="Times New Roman"/>
          <w:sz w:val="30"/>
          <w:szCs w:val="30"/>
        </w:rPr>
        <w:t>Ленина» ежегодно проводит семинар «</w:t>
      </w:r>
      <w:r w:rsidR="007A695D" w:rsidRPr="00E35CD2">
        <w:rPr>
          <w:rFonts w:ascii="Times New Roman" w:hAnsi="Times New Roman" w:cs="Times New Roman"/>
          <w:sz w:val="30"/>
          <w:szCs w:val="30"/>
        </w:rPr>
        <w:t>Публичная библиотека и современные информационно реалии</w:t>
      </w:r>
      <w:r w:rsidR="00906925" w:rsidRPr="00E35CD2">
        <w:rPr>
          <w:rFonts w:ascii="Times New Roman" w:hAnsi="Times New Roman" w:cs="Times New Roman"/>
          <w:sz w:val="30"/>
          <w:szCs w:val="30"/>
        </w:rPr>
        <w:t xml:space="preserve">», </w:t>
      </w:r>
      <w:r w:rsidR="00DA3C83">
        <w:rPr>
          <w:rFonts w:ascii="Times New Roman" w:hAnsi="Times New Roman" w:cs="Times New Roman"/>
          <w:sz w:val="30"/>
          <w:szCs w:val="30"/>
        </w:rPr>
        <w:t>г</w:t>
      </w:r>
      <w:r w:rsidR="002A437F" w:rsidRPr="00E35CD2">
        <w:rPr>
          <w:rFonts w:ascii="Times New Roman" w:hAnsi="Times New Roman" w:cs="Times New Roman"/>
          <w:sz w:val="30"/>
          <w:szCs w:val="30"/>
        </w:rPr>
        <w:t>осударственное учреждение «Минская областная библиотека имени А.С.</w:t>
      </w:r>
      <w:r w:rsidR="00DA3C83">
        <w:rPr>
          <w:rFonts w:ascii="Times New Roman" w:hAnsi="Times New Roman" w:cs="Times New Roman"/>
          <w:sz w:val="30"/>
          <w:szCs w:val="30"/>
        </w:rPr>
        <w:t xml:space="preserve"> </w:t>
      </w:r>
      <w:r w:rsidR="002A437F" w:rsidRPr="00E35CD2">
        <w:rPr>
          <w:rFonts w:ascii="Times New Roman" w:hAnsi="Times New Roman" w:cs="Times New Roman"/>
          <w:sz w:val="30"/>
          <w:szCs w:val="30"/>
        </w:rPr>
        <w:t>Пушкина» – семинар «</w:t>
      </w:r>
      <w:r w:rsidR="00906925" w:rsidRPr="00E35CD2">
        <w:rPr>
          <w:rFonts w:ascii="Times New Roman" w:hAnsi="Times New Roman" w:cs="Times New Roman"/>
          <w:sz w:val="30"/>
          <w:szCs w:val="30"/>
        </w:rPr>
        <w:t>Роль методической службы в повышении качества работы библиотеки</w:t>
      </w:r>
      <w:r w:rsidR="002A437F" w:rsidRPr="00E35CD2">
        <w:rPr>
          <w:rFonts w:ascii="Times New Roman" w:hAnsi="Times New Roman" w:cs="Times New Roman"/>
          <w:sz w:val="30"/>
          <w:szCs w:val="30"/>
        </w:rPr>
        <w:t>» и др.</w:t>
      </w:r>
      <w:r w:rsidR="001247E2" w:rsidRPr="00E35CD2">
        <w:rPr>
          <w:rFonts w:ascii="Times New Roman" w:hAnsi="Times New Roman" w:cs="Times New Roman"/>
          <w:sz w:val="30"/>
          <w:szCs w:val="30"/>
        </w:rPr>
        <w:t xml:space="preserve"> </w:t>
      </w:r>
    </w:p>
    <w:p w:rsidR="006847D6" w:rsidRPr="00E35CD2" w:rsidRDefault="006847D6" w:rsidP="006847D6">
      <w:pPr>
        <w:ind w:firstLine="708"/>
        <w:jc w:val="both"/>
        <w:rPr>
          <w:rFonts w:ascii="Times New Roman" w:hAnsi="Times New Roman" w:cs="Times New Roman"/>
          <w:sz w:val="30"/>
          <w:szCs w:val="30"/>
        </w:rPr>
      </w:pPr>
      <w:r w:rsidRPr="00E35CD2">
        <w:rPr>
          <w:rFonts w:ascii="Times New Roman" w:hAnsi="Times New Roman" w:cs="Times New Roman"/>
          <w:sz w:val="30"/>
          <w:szCs w:val="30"/>
        </w:rPr>
        <w:t xml:space="preserve">С целью оптимизации научно-исследовательской и методической деятельности библиотек страны НББ ежегодно составляет Координационный план научно-методической и исследовательской деятельности библиотек – методических центров Республики Беларусь, раскрывающий многоаспектную деятельность главных методических центров республиканского и областного уровней. Приводимые в нем сведения о запланированных мероприятиях позволяют специалистам библиотечного дела скоординировать свою деятельность, отследить </w:t>
      </w:r>
      <w:r w:rsidRPr="00E35CD2">
        <w:rPr>
          <w:rFonts w:ascii="Times New Roman" w:hAnsi="Times New Roman" w:cs="Times New Roman"/>
          <w:sz w:val="30"/>
          <w:szCs w:val="30"/>
        </w:rPr>
        <w:lastRenderedPageBreak/>
        <w:t xml:space="preserve">инновационные разработки коллег, осуществить обмен опытом, издательской продукцией, организовать профессиональные встречи и т.д. </w:t>
      </w:r>
    </w:p>
    <w:p w:rsidR="00EE0BA8" w:rsidRPr="00E35CD2" w:rsidRDefault="00EE0BA8" w:rsidP="00EE0BA8">
      <w:pPr>
        <w:spacing w:line="240" w:lineRule="auto"/>
        <w:ind w:firstLine="709"/>
        <w:jc w:val="both"/>
        <w:rPr>
          <w:rFonts w:ascii="Times New Roman" w:hAnsi="Times New Roman" w:cs="Times New Roman"/>
          <w:sz w:val="30"/>
          <w:szCs w:val="30"/>
        </w:rPr>
      </w:pPr>
      <w:r w:rsidRPr="00E35CD2">
        <w:rPr>
          <w:rFonts w:ascii="Times New Roman" w:hAnsi="Times New Roman" w:cs="Times New Roman"/>
          <w:sz w:val="30"/>
          <w:szCs w:val="30"/>
        </w:rPr>
        <w:t>К сожалению, основные кадровые проблемы, с которыми сталкиваются публичные библиотеки на протяжении нескольких последних лет, по-прежнему остаются актуальными. Уменьшение количества библиотечных работников связано прежде всего с сокращением и реорганизацией библиотек, а также с такими факторами</w:t>
      </w:r>
      <w:r w:rsidR="00DA3C83">
        <w:rPr>
          <w:rFonts w:ascii="Times New Roman" w:hAnsi="Times New Roman" w:cs="Times New Roman"/>
          <w:sz w:val="30"/>
          <w:szCs w:val="30"/>
        </w:rPr>
        <w:t>,</w:t>
      </w:r>
      <w:bookmarkStart w:id="0" w:name="_GoBack"/>
      <w:bookmarkEnd w:id="0"/>
      <w:r w:rsidRPr="00E35CD2">
        <w:rPr>
          <w:rFonts w:ascii="Times New Roman" w:hAnsi="Times New Roman" w:cs="Times New Roman"/>
          <w:sz w:val="30"/>
          <w:szCs w:val="30"/>
        </w:rPr>
        <w:t xml:space="preserve"> как старение коллектива, нежелание молодых специалистов закрепиться в профессии, невысокая заработная плата и др.</w:t>
      </w:r>
      <w:r w:rsidR="001B156A" w:rsidRPr="00E35CD2">
        <w:rPr>
          <w:rFonts w:ascii="Times New Roman" w:hAnsi="Times New Roman" w:cs="Times New Roman"/>
          <w:sz w:val="30"/>
          <w:szCs w:val="30"/>
        </w:rPr>
        <w:t xml:space="preserve"> </w:t>
      </w:r>
    </w:p>
    <w:p w:rsidR="00EE0BA8" w:rsidRPr="00E35CD2" w:rsidRDefault="00EE0BA8" w:rsidP="006847D6">
      <w:pPr>
        <w:ind w:firstLine="708"/>
        <w:jc w:val="both"/>
        <w:rPr>
          <w:rFonts w:ascii="Times New Roman" w:hAnsi="Times New Roman" w:cs="Times New Roman"/>
          <w:sz w:val="30"/>
          <w:szCs w:val="30"/>
        </w:rPr>
      </w:pPr>
    </w:p>
    <w:p w:rsidR="00EE0BA8" w:rsidRPr="00E35CD2" w:rsidRDefault="00EE0BA8" w:rsidP="00EE0BA8">
      <w:pPr>
        <w:pStyle w:val="Default"/>
      </w:pPr>
    </w:p>
    <w:p w:rsidR="00F52F32" w:rsidRPr="00E35CD2" w:rsidRDefault="00EE0BA8" w:rsidP="00E64740">
      <w:pPr>
        <w:ind w:firstLine="708"/>
        <w:jc w:val="both"/>
        <w:rPr>
          <w:rFonts w:ascii="Times New Roman" w:hAnsi="Times New Roman" w:cs="Times New Roman"/>
          <w:sz w:val="30"/>
          <w:szCs w:val="30"/>
        </w:rPr>
      </w:pPr>
      <w:r w:rsidRPr="00E35CD2">
        <w:t xml:space="preserve"> </w:t>
      </w:r>
    </w:p>
    <w:p w:rsidR="00F52F32" w:rsidRPr="00E35CD2" w:rsidRDefault="00F52F32" w:rsidP="00257118">
      <w:pPr>
        <w:spacing w:line="240" w:lineRule="auto"/>
        <w:ind w:firstLine="709"/>
        <w:jc w:val="both"/>
        <w:rPr>
          <w:rFonts w:ascii="Times New Roman" w:hAnsi="Times New Roman" w:cs="Times New Roman"/>
          <w:sz w:val="30"/>
          <w:szCs w:val="30"/>
        </w:rPr>
      </w:pPr>
    </w:p>
    <w:p w:rsidR="006458B4" w:rsidRPr="00E35CD2" w:rsidRDefault="006458B4" w:rsidP="00257118">
      <w:pPr>
        <w:pStyle w:val="a8"/>
        <w:shd w:val="clear" w:color="auto" w:fill="FFFFFF"/>
        <w:spacing w:before="0" w:after="0"/>
        <w:jc w:val="both"/>
        <w:rPr>
          <w:sz w:val="30"/>
          <w:szCs w:val="30"/>
        </w:rPr>
      </w:pPr>
    </w:p>
    <w:sectPr w:rsidR="006458B4" w:rsidRPr="00E35CD2" w:rsidSect="00046C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A0" w:rsidRDefault="002F55A0" w:rsidP="00B82B4E">
      <w:pPr>
        <w:spacing w:line="240" w:lineRule="auto"/>
      </w:pPr>
      <w:r>
        <w:separator/>
      </w:r>
    </w:p>
  </w:endnote>
  <w:endnote w:type="continuationSeparator" w:id="0">
    <w:p w:rsidR="002F55A0" w:rsidRDefault="002F55A0" w:rsidP="00B82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A0" w:rsidRDefault="002F55A0" w:rsidP="00B82B4E">
      <w:pPr>
        <w:spacing w:line="240" w:lineRule="auto"/>
      </w:pPr>
      <w:r>
        <w:separator/>
      </w:r>
    </w:p>
  </w:footnote>
  <w:footnote w:type="continuationSeparator" w:id="0">
    <w:p w:rsidR="002F55A0" w:rsidRDefault="002F55A0" w:rsidP="00B82B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B4E"/>
    <w:rsid w:val="00000FE2"/>
    <w:rsid w:val="00016AE3"/>
    <w:rsid w:val="00046CAC"/>
    <w:rsid w:val="000D7A21"/>
    <w:rsid w:val="0010023D"/>
    <w:rsid w:val="001146DC"/>
    <w:rsid w:val="001221A7"/>
    <w:rsid w:val="0012406D"/>
    <w:rsid w:val="001247E2"/>
    <w:rsid w:val="001434FC"/>
    <w:rsid w:val="00180F00"/>
    <w:rsid w:val="001B156A"/>
    <w:rsid w:val="001F177B"/>
    <w:rsid w:val="00214FD6"/>
    <w:rsid w:val="0023308E"/>
    <w:rsid w:val="00257118"/>
    <w:rsid w:val="002A437F"/>
    <w:rsid w:val="002B3C30"/>
    <w:rsid w:val="002E0F93"/>
    <w:rsid w:val="002F55A0"/>
    <w:rsid w:val="00300161"/>
    <w:rsid w:val="003C2AB7"/>
    <w:rsid w:val="003C4113"/>
    <w:rsid w:val="003D7EFE"/>
    <w:rsid w:val="00412D7A"/>
    <w:rsid w:val="00453D46"/>
    <w:rsid w:val="0048613E"/>
    <w:rsid w:val="004D4302"/>
    <w:rsid w:val="005049FC"/>
    <w:rsid w:val="005105DB"/>
    <w:rsid w:val="00550050"/>
    <w:rsid w:val="00563816"/>
    <w:rsid w:val="00580767"/>
    <w:rsid w:val="005A7A1F"/>
    <w:rsid w:val="005C4438"/>
    <w:rsid w:val="00600217"/>
    <w:rsid w:val="006458B4"/>
    <w:rsid w:val="006847D6"/>
    <w:rsid w:val="006A31E5"/>
    <w:rsid w:val="006D7E1B"/>
    <w:rsid w:val="006E39B3"/>
    <w:rsid w:val="006E63DE"/>
    <w:rsid w:val="006F3E28"/>
    <w:rsid w:val="0075419D"/>
    <w:rsid w:val="007636A0"/>
    <w:rsid w:val="0077205A"/>
    <w:rsid w:val="007A0928"/>
    <w:rsid w:val="007A695D"/>
    <w:rsid w:val="007E76F7"/>
    <w:rsid w:val="00803E9F"/>
    <w:rsid w:val="00831172"/>
    <w:rsid w:val="00885196"/>
    <w:rsid w:val="008B3770"/>
    <w:rsid w:val="008F6AF8"/>
    <w:rsid w:val="00906925"/>
    <w:rsid w:val="009759ED"/>
    <w:rsid w:val="00985D03"/>
    <w:rsid w:val="009950C1"/>
    <w:rsid w:val="009B1E5F"/>
    <w:rsid w:val="009F5ED8"/>
    <w:rsid w:val="00A10564"/>
    <w:rsid w:val="00A6785F"/>
    <w:rsid w:val="00AA6287"/>
    <w:rsid w:val="00AC2290"/>
    <w:rsid w:val="00AF1A47"/>
    <w:rsid w:val="00B01B8A"/>
    <w:rsid w:val="00B14AB4"/>
    <w:rsid w:val="00B32086"/>
    <w:rsid w:val="00B446C4"/>
    <w:rsid w:val="00B4763D"/>
    <w:rsid w:val="00B61BA4"/>
    <w:rsid w:val="00B8178D"/>
    <w:rsid w:val="00B82B4E"/>
    <w:rsid w:val="00BF3923"/>
    <w:rsid w:val="00C2467B"/>
    <w:rsid w:val="00C901A6"/>
    <w:rsid w:val="00CC0DB6"/>
    <w:rsid w:val="00CD458E"/>
    <w:rsid w:val="00D221A3"/>
    <w:rsid w:val="00D23638"/>
    <w:rsid w:val="00D46974"/>
    <w:rsid w:val="00D6074D"/>
    <w:rsid w:val="00D760F3"/>
    <w:rsid w:val="00DA3C83"/>
    <w:rsid w:val="00DC44E9"/>
    <w:rsid w:val="00E1461B"/>
    <w:rsid w:val="00E35CD2"/>
    <w:rsid w:val="00E64740"/>
    <w:rsid w:val="00EE0BA8"/>
    <w:rsid w:val="00F13FBB"/>
    <w:rsid w:val="00F46BF6"/>
    <w:rsid w:val="00F52F32"/>
    <w:rsid w:val="00FA5420"/>
    <w:rsid w:val="00FC5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4D3B3-3674-40A3-A858-320F0622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B4E"/>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2B4E"/>
    <w:pPr>
      <w:spacing w:line="240" w:lineRule="auto"/>
    </w:pPr>
    <w:rPr>
      <w:sz w:val="20"/>
      <w:szCs w:val="20"/>
    </w:rPr>
  </w:style>
  <w:style w:type="character" w:customStyle="1" w:styleId="a4">
    <w:name w:val="Текст сноски Знак"/>
    <w:basedOn w:val="a0"/>
    <w:link w:val="a3"/>
    <w:uiPriority w:val="99"/>
    <w:semiHidden/>
    <w:rsid w:val="00B82B4E"/>
    <w:rPr>
      <w:sz w:val="20"/>
      <w:szCs w:val="20"/>
    </w:rPr>
  </w:style>
  <w:style w:type="character" w:styleId="a5">
    <w:name w:val="footnote reference"/>
    <w:basedOn w:val="a0"/>
    <w:uiPriority w:val="99"/>
    <w:semiHidden/>
    <w:unhideWhenUsed/>
    <w:rsid w:val="00B82B4E"/>
    <w:rPr>
      <w:vertAlign w:val="superscript"/>
    </w:rPr>
  </w:style>
  <w:style w:type="paragraph" w:styleId="a6">
    <w:name w:val="Balloon Text"/>
    <w:basedOn w:val="a"/>
    <w:link w:val="a7"/>
    <w:uiPriority w:val="99"/>
    <w:semiHidden/>
    <w:unhideWhenUsed/>
    <w:rsid w:val="00D221A3"/>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21A3"/>
    <w:rPr>
      <w:rFonts w:ascii="Segoe UI" w:hAnsi="Segoe UI" w:cs="Segoe UI"/>
      <w:sz w:val="18"/>
      <w:szCs w:val="18"/>
    </w:rPr>
  </w:style>
  <w:style w:type="character" w:customStyle="1" w:styleId="txt">
    <w:name w:val="txt"/>
    <w:basedOn w:val="a0"/>
    <w:rsid w:val="00D46974"/>
  </w:style>
  <w:style w:type="paragraph" w:styleId="a8">
    <w:name w:val="Normal (Web)"/>
    <w:aliases w:val="Обычный (веб) Знак,Обычный (веб) Знак1,Обычный (веб) Знак Знак"/>
    <w:basedOn w:val="a"/>
    <w:rsid w:val="006458B4"/>
    <w:pPr>
      <w:spacing w:before="100" w:after="10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5A7A1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0B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nlb\export\NIO-lib-ved\&#1050;&#1072;&#1090;&#1077;&#1088;&#1080;&#1085;&#1072;\!!!%20&#1054;&#1058;&#1063;&#1045;&#1058;&#1067;%20&#1048;%20&#1055;&#1051;&#1040;&#1053;&#1067;%20&#1053;&#1041;&#1041;\&#1055;&#1051;&#1040;&#1053;&#1067;\&#1055;&#1051;&#1040;&#1053;%202021\&#1055;&#1088;&#1077;&#1079;&#1077;&#1085;&#1090;&#1072;&#1094;&#1080;&#1103;\&#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lb\export\NIO-lib-ved\&#1050;&#1072;&#1090;&#1077;&#1088;&#1080;&#1085;&#1072;\!!!%20&#1054;&#1058;&#1063;&#1045;&#1058;&#1067;%20&#1048;%20&#1055;&#1051;&#1040;&#1053;&#1067;%20&#1053;&#1041;&#1041;\&#1055;&#1051;&#1040;&#1053;&#1067;\&#1055;&#1051;&#1040;&#1053;%202021\&#1055;&#1088;&#1077;&#1079;&#1077;&#1085;&#1090;&#1072;&#1094;&#1080;&#1103;\&#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lb\export\NIO-lib-ved\&#1050;&#1072;&#1090;&#1077;&#1088;&#1080;&#1085;&#1072;\!!!%20&#1054;&#1058;&#1063;&#1045;&#1058;&#1067;%20&#1048;%20&#1055;&#1051;&#1040;&#1053;&#1067;%20&#1053;&#1041;&#1041;\&#1055;&#1051;&#1040;&#1053;&#1067;\&#1055;&#1051;&#1040;&#1053;%202021\&#1055;&#1088;&#1077;&#1079;&#1077;&#1085;&#1090;&#1072;&#1094;&#1080;&#110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lumMod val="60000"/>
                <a:lumOff val="40000"/>
              </a:schemeClr>
            </a:solidFill>
            <a:ln>
              <a:solidFill>
                <a:schemeClr val="accent1">
                  <a:lumMod val="50000"/>
                </a:schemeClr>
              </a:solidFill>
            </a:ln>
            <a:effectLst/>
            <a:sp3d>
              <a:contourClr>
                <a:schemeClr val="accent1">
                  <a:lumMod val="50000"/>
                </a:schemeClr>
              </a:contourClr>
            </a:sp3d>
          </c:spPr>
          <c:invertIfNegative val="0"/>
          <c:dLbls>
            <c:dLbl>
              <c:idx val="0"/>
              <c:layout>
                <c:manualLayout>
                  <c:x val="2.7414330218068564E-2"/>
                  <c:y val="-9.25925925925927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414330218068564E-2"/>
                  <c:y val="-6.78014727325751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414330218068564E-2"/>
                  <c:y val="-7.87037037037037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429906542056094E-2"/>
                  <c:y val="-7.87037037037038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429906542056094E-2"/>
                  <c:y val="-9.722222222222226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Лист1!$C$367:$C$371</c:f>
              <c:strCache>
                <c:ptCount val="5"/>
                <c:pt idx="0">
                  <c:v>2016 г.</c:v>
                </c:pt>
                <c:pt idx="1">
                  <c:v>2017 г.</c:v>
                </c:pt>
                <c:pt idx="2">
                  <c:v>2018 г.</c:v>
                </c:pt>
                <c:pt idx="3">
                  <c:v>2019 г.</c:v>
                </c:pt>
                <c:pt idx="4">
                  <c:v>2020 г.</c:v>
                </c:pt>
              </c:strCache>
            </c:strRef>
          </c:cat>
          <c:val>
            <c:numRef>
              <c:f>Лист1!$D$367:$D$371</c:f>
              <c:numCache>
                <c:formatCode>#,##0</c:formatCode>
                <c:ptCount val="5"/>
                <c:pt idx="0">
                  <c:v>7201</c:v>
                </c:pt>
                <c:pt idx="1">
                  <c:v>7350</c:v>
                </c:pt>
                <c:pt idx="2">
                  <c:v>7290</c:v>
                </c:pt>
                <c:pt idx="3">
                  <c:v>6891</c:v>
                </c:pt>
                <c:pt idx="4">
                  <c:v>6706</c:v>
                </c:pt>
              </c:numCache>
            </c:numRef>
          </c:val>
        </c:ser>
        <c:dLbls>
          <c:showLegendKey val="0"/>
          <c:showVal val="0"/>
          <c:showCatName val="0"/>
          <c:showSerName val="0"/>
          <c:showPercent val="0"/>
          <c:showBubbleSize val="0"/>
        </c:dLbls>
        <c:gapWidth val="84"/>
        <c:gapDepth val="108"/>
        <c:shape val="box"/>
        <c:axId val="393013000"/>
        <c:axId val="393015352"/>
        <c:axId val="0"/>
      </c:bar3DChart>
      <c:catAx>
        <c:axId val="393013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3015352"/>
        <c:crosses val="autoZero"/>
        <c:auto val="1"/>
        <c:lblAlgn val="ctr"/>
        <c:lblOffset val="100"/>
        <c:noMultiLvlLbl val="0"/>
      </c:catAx>
      <c:valAx>
        <c:axId val="393015352"/>
        <c:scaling>
          <c:orientation val="minMax"/>
        </c:scaling>
        <c:delete val="1"/>
        <c:axPos val="l"/>
        <c:numFmt formatCode="#,##0" sourceLinked="1"/>
        <c:majorTickMark val="none"/>
        <c:minorTickMark val="none"/>
        <c:tickLblPos val="nextTo"/>
        <c:crossAx val="393013000"/>
        <c:crosses val="autoZero"/>
        <c:crossBetween val="between"/>
        <c:majorUnit val="200"/>
        <c:min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Лист1!$C$435</c:f>
              <c:strCache>
                <c:ptCount val="1"/>
                <c:pt idx="0">
                  <c:v>доля до 5 лет</c:v>
                </c:pt>
              </c:strCache>
            </c:strRef>
          </c:tx>
          <c:spPr>
            <a:solidFill>
              <a:schemeClr val="accent1">
                <a:lumMod val="75000"/>
              </a:schemeClr>
            </a:solidFill>
            <a:ln>
              <a:solidFill>
                <a:schemeClr val="accent2">
                  <a:lumMod val="60000"/>
                  <a:lumOff val="40000"/>
                </a:schemeClr>
              </a:solidFill>
            </a:ln>
            <a:effectLst/>
            <a:scene3d>
              <a:camera prst="orthographicFront"/>
              <a:lightRig rig="threePt" dir="t"/>
            </a:scene3d>
            <a:sp3d prstMaterial="metal">
              <a:contourClr>
                <a:schemeClr val="accent2">
                  <a:lumMod val="60000"/>
                  <a:lumOff val="4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Лист1!$D$434:$H$434</c:f>
              <c:strCache>
                <c:ptCount val="5"/>
                <c:pt idx="0">
                  <c:v>2016 г.</c:v>
                </c:pt>
                <c:pt idx="1">
                  <c:v>2017 г.</c:v>
                </c:pt>
                <c:pt idx="2">
                  <c:v>2018 г.</c:v>
                </c:pt>
                <c:pt idx="3">
                  <c:v>2019 г.</c:v>
                </c:pt>
                <c:pt idx="4">
                  <c:v>2020 г.</c:v>
                </c:pt>
              </c:strCache>
            </c:strRef>
          </c:cat>
          <c:val>
            <c:numRef>
              <c:f>Лист1!$D$435:$H$435</c:f>
              <c:numCache>
                <c:formatCode>0%</c:formatCode>
                <c:ptCount val="5"/>
                <c:pt idx="0" formatCode="0.0%">
                  <c:v>0.73700000000000043</c:v>
                </c:pt>
                <c:pt idx="1">
                  <c:v>0.73000000000000043</c:v>
                </c:pt>
                <c:pt idx="2" formatCode="0.0%">
                  <c:v>0.61400000000000043</c:v>
                </c:pt>
                <c:pt idx="3" formatCode="0.0%">
                  <c:v>0.6630000000000007</c:v>
                </c:pt>
                <c:pt idx="4">
                  <c:v>0.64000000000000046</c:v>
                </c:pt>
              </c:numCache>
            </c:numRef>
          </c:val>
        </c:ser>
        <c:ser>
          <c:idx val="1"/>
          <c:order val="1"/>
          <c:tx>
            <c:strRef>
              <c:f>Лист1!$C$436</c:f>
              <c:strCache>
                <c:ptCount val="1"/>
                <c:pt idx="0">
                  <c:v>общее количество библиотек</c:v>
                </c:pt>
              </c:strCache>
            </c:strRef>
          </c:tx>
          <c:spPr>
            <a:solidFill>
              <a:schemeClr val="accent2">
                <a:lumMod val="60000"/>
                <a:lumOff val="40000"/>
              </a:schemeClr>
            </a:solidFill>
            <a:ln>
              <a:solidFill>
                <a:schemeClr val="accent1">
                  <a:lumMod val="50000"/>
                </a:schemeClr>
              </a:solidFill>
            </a:ln>
            <a:effectLst/>
            <a:sp3d>
              <a:contourClr>
                <a:schemeClr val="accent1">
                  <a:lumMod val="50000"/>
                </a:schemeClr>
              </a:contourClr>
            </a:sp3d>
          </c:spPr>
          <c:invertIfNegative val="0"/>
          <c:cat>
            <c:strRef>
              <c:f>Лист1!$D$434:$H$434</c:f>
              <c:strCache>
                <c:ptCount val="5"/>
                <c:pt idx="0">
                  <c:v>2016 г.</c:v>
                </c:pt>
                <c:pt idx="1">
                  <c:v>2017 г.</c:v>
                </c:pt>
                <c:pt idx="2">
                  <c:v>2018 г.</c:v>
                </c:pt>
                <c:pt idx="3">
                  <c:v>2019 г.</c:v>
                </c:pt>
                <c:pt idx="4">
                  <c:v>2020 г.</c:v>
                </c:pt>
              </c:strCache>
            </c:strRef>
          </c:cat>
          <c:val>
            <c:numRef>
              <c:f>Лист1!$D$436:$H$436</c:f>
              <c:numCache>
                <c:formatCode>0%</c:formatCode>
                <c:ptCount val="5"/>
                <c:pt idx="0" formatCode="0.0%">
                  <c:v>0.26300000000000001</c:v>
                </c:pt>
                <c:pt idx="1">
                  <c:v>0.26</c:v>
                </c:pt>
                <c:pt idx="2" formatCode="0.0%">
                  <c:v>0.38600000000000023</c:v>
                </c:pt>
                <c:pt idx="3" formatCode="0.0%">
                  <c:v>0.33700000000000035</c:v>
                </c:pt>
                <c:pt idx="4">
                  <c:v>0.36000000000000021</c:v>
                </c:pt>
              </c:numCache>
            </c:numRef>
          </c:val>
        </c:ser>
        <c:dLbls>
          <c:showLegendKey val="0"/>
          <c:showVal val="0"/>
          <c:showCatName val="0"/>
          <c:showSerName val="0"/>
          <c:showPercent val="0"/>
          <c:showBubbleSize val="0"/>
        </c:dLbls>
        <c:gapWidth val="81"/>
        <c:shape val="box"/>
        <c:axId val="393018488"/>
        <c:axId val="393007120"/>
        <c:axId val="0"/>
      </c:bar3DChart>
      <c:catAx>
        <c:axId val="393018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93007120"/>
        <c:crosses val="autoZero"/>
        <c:auto val="1"/>
        <c:lblAlgn val="ctr"/>
        <c:lblOffset val="100"/>
        <c:noMultiLvlLbl val="0"/>
      </c:catAx>
      <c:valAx>
        <c:axId val="393007120"/>
        <c:scaling>
          <c:orientation val="minMax"/>
        </c:scaling>
        <c:delete val="1"/>
        <c:axPos val="l"/>
        <c:numFmt formatCode="0.0%" sourceLinked="1"/>
        <c:majorTickMark val="none"/>
        <c:minorTickMark val="none"/>
        <c:tickLblPos val="nextTo"/>
        <c:crossAx val="393018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222222222222263E-2"/>
          <c:y val="0.18560185185185191"/>
          <c:w val="0.93888888888888933"/>
          <c:h val="0.67145778652668464"/>
        </c:manualLayout>
      </c:layout>
      <c:pie3DChart>
        <c:varyColors val="1"/>
        <c:ser>
          <c:idx val="0"/>
          <c:order val="0"/>
          <c:explosion val="6"/>
          <c:dPt>
            <c:idx val="0"/>
            <c:bubble3D val="0"/>
            <c:spPr>
              <a:solidFill>
                <a:srgbClr val="FFC000"/>
              </a:solidFill>
              <a:ln w="25400">
                <a:solidFill>
                  <a:srgbClr val="FFC000"/>
                </a:solidFill>
              </a:ln>
              <a:effectLst/>
              <a:scene3d>
                <a:camera prst="orthographicFront"/>
                <a:lightRig rig="threePt" dir="t"/>
              </a:scene3d>
              <a:sp3d contourW="25400" prstMaterial="metal">
                <a:contourClr>
                  <a:srgbClr val="FFC000"/>
                </a:contourClr>
              </a:sp3d>
            </c:spPr>
          </c:dPt>
          <c:dPt>
            <c:idx val="1"/>
            <c:bubble3D val="0"/>
            <c:spPr>
              <a:solidFill>
                <a:srgbClr val="92D050"/>
              </a:solidFill>
              <a:ln w="25400">
                <a:solidFill>
                  <a:srgbClr val="92D050"/>
                </a:solidFill>
              </a:ln>
              <a:effectLst/>
              <a:sp3d contourW="25400">
                <a:contourClr>
                  <a:srgbClr val="92D050"/>
                </a:contourClr>
              </a:sp3d>
            </c:spPr>
          </c:dPt>
          <c:dPt>
            <c:idx val="2"/>
            <c:bubble3D val="0"/>
            <c:spPr>
              <a:solidFill>
                <a:schemeClr val="accent1"/>
              </a:solidFill>
              <a:ln w="25400">
                <a:solidFill>
                  <a:srgbClr val="00B0F0"/>
                </a:solidFill>
              </a:ln>
              <a:effectLst/>
              <a:sp3d contourW="25400">
                <a:contourClr>
                  <a:srgbClr val="00B0F0"/>
                </a:contourClr>
              </a:sp3d>
            </c:spPr>
          </c:dPt>
          <c:dLbls>
            <c:dLbl>
              <c:idx val="0"/>
              <c:layout>
                <c:manualLayout>
                  <c:x val="-0.22829746281714802"/>
                  <c:y val="5.1800452026829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22629330708661421"/>
                  <c:y val="-0.1746121318168563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Лист1!$C$449:$C$451</c:f>
              <c:strCache>
                <c:ptCount val="3"/>
                <c:pt idx="0">
                  <c:v>50 и более лет</c:v>
                </c:pt>
                <c:pt idx="1">
                  <c:v>30-49 лет</c:v>
                </c:pt>
                <c:pt idx="2">
                  <c:v>18-29 лет</c:v>
                </c:pt>
              </c:strCache>
            </c:strRef>
          </c:cat>
          <c:val>
            <c:numRef>
              <c:f>Лист1!$D$449:$D$451</c:f>
              <c:numCache>
                <c:formatCode>0.0%</c:formatCode>
                <c:ptCount val="3"/>
                <c:pt idx="0">
                  <c:v>0.4160000000000002</c:v>
                </c:pt>
                <c:pt idx="1">
                  <c:v>0.46500000000000002</c:v>
                </c:pt>
                <c:pt idx="2">
                  <c:v>0.11899999999999998</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rnd"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7</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nlb</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Sedneva Ekaterina V.</dc:creator>
  <cp:keywords/>
  <dc:description/>
  <cp:lastModifiedBy>Yakovenko Eleva V.</cp:lastModifiedBy>
  <cp:revision>56</cp:revision>
  <cp:lastPrinted>2021-05-26T11:22:00Z</cp:lastPrinted>
  <dcterms:created xsi:type="dcterms:W3CDTF">2021-04-14T08:31:00Z</dcterms:created>
  <dcterms:modified xsi:type="dcterms:W3CDTF">2022-02-02T09:32:00Z</dcterms:modified>
</cp:coreProperties>
</file>